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stheme="minorHAnsi"/>
          <w:b/>
          <w:bCs/>
          <w:color w:val="FFFFFF" w:themeColor="background1"/>
          <w:lang w:eastAsia="zh-CN"/>
          <w14:textFill>
            <w14:solidFill>
              <w14:schemeClr w14:val="bg1"/>
            </w14:solidFill>
          </w14:textFill>
        </w:rPr>
      </w:pPr>
    </w:p>
    <w:p>
      <w:pPr>
        <w:rPr>
          <w:rFonts w:cstheme="minorHAnsi"/>
          <w:b/>
          <w:bCs/>
          <w:color w:val="FFFFFF" w:themeColor="background1"/>
          <w14:textFill>
            <w14:solidFill>
              <w14:schemeClr w14:val="bg1"/>
            </w14:solidFill>
          </w14:textFill>
        </w:rPr>
      </w:pPr>
    </w:p>
    <w:p>
      <w:pPr>
        <w:rPr>
          <w:rFonts w:cstheme="minorHAnsi"/>
          <w:b/>
          <w:bCs/>
          <w:color w:val="FFFFFF" w:themeColor="background1"/>
          <w14:textFill>
            <w14:solidFill>
              <w14:schemeClr w14:val="bg1"/>
            </w14:solidFill>
          </w14:textFill>
        </w:rPr>
      </w:pPr>
    </w:p>
    <w:p>
      <w:pPr>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sz w:val="44"/>
          <w:szCs w:val="44"/>
          <w14:textFill>
            <w14:solidFill>
              <w14:schemeClr w14:val="bg1"/>
            </w14:solidFill>
          </w14:textFill>
        </w:rPr>
      </w:pPr>
      <w:r>
        <w:rPr>
          <w:rFonts w:cstheme="minorHAnsi"/>
          <w:b/>
          <w:bCs/>
          <w:color w:val="FFFFFF" w:themeColor="background1"/>
          <w:sz w:val="44"/>
          <w:szCs w:val="44"/>
          <w14:textFill>
            <w14:solidFill>
              <w14:schemeClr w14:val="bg1"/>
            </w14:solidFill>
          </w14:textFill>
        </w:rPr>
        <w:t xml:space="preserve">Project Progress Report </w:t>
      </w:r>
      <w:r>
        <w:rPr>
          <w:rFonts w:hint="eastAsia" w:cstheme="minorHAnsi"/>
          <w:b/>
          <w:bCs/>
          <w:color w:val="FFFFFF" w:themeColor="background1"/>
          <w:sz w:val="44"/>
          <w:szCs w:val="44"/>
          <w:lang w:eastAsia="zh-CN"/>
          <w14:textFill>
            <w14:solidFill>
              <w14:schemeClr w14:val="bg1"/>
            </w14:solidFill>
          </w14:textFill>
        </w:rPr>
        <w:t>(</w:t>
      </w:r>
      <w:r>
        <w:rPr>
          <w:rFonts w:cstheme="minorHAnsi"/>
          <w:b/>
          <w:bCs/>
          <w:color w:val="FFFFFF" w:themeColor="background1"/>
          <w:sz w:val="44"/>
          <w:szCs w:val="44"/>
          <w:lang w:eastAsia="zh-CN"/>
          <w14:textFill>
            <w14:solidFill>
              <w14:schemeClr w14:val="bg1"/>
            </w14:solidFill>
          </w14:textFill>
        </w:rPr>
        <w:t>2023 version)</w:t>
      </w:r>
    </w:p>
    <w:p>
      <w:pPr>
        <w:shd w:val="clear" w:color="auto" w:fill="2E75B5" w:themeFill="accent5" w:themeFillShade="BF"/>
        <w:rPr>
          <w:rFonts w:cstheme="minorHAnsi"/>
          <w:b/>
          <w:bCs/>
          <w:color w:val="FFFFFF" w:themeColor="background1"/>
          <w14:textFill>
            <w14:solidFill>
              <w14:schemeClr w14:val="bg1"/>
            </w14:solidFill>
          </w14:textFill>
        </w:rPr>
      </w:pPr>
      <w:bookmarkStart w:id="0" w:name="_Hlk55293559"/>
      <w:r>
        <w:rPr>
          <w:rFonts w:cstheme="minorHAnsi"/>
          <w:b/>
          <w:bCs/>
          <w:color w:val="FFFFFF" w:themeColor="background1"/>
          <w14:textFill>
            <w14:solidFill>
              <w14:schemeClr w14:val="bg1"/>
            </w14:solidFill>
          </w14:textFill>
        </w:rPr>
        <w:t>项目</w:t>
      </w:r>
      <w:r>
        <w:rPr>
          <w:rFonts w:hint="eastAsia" w:cstheme="minorHAnsi"/>
          <w:b/>
          <w:bCs/>
          <w:color w:val="FFFFFF" w:themeColor="background1"/>
          <w14:textFill>
            <w14:solidFill>
              <w14:schemeClr w14:val="bg1"/>
            </w14:solidFill>
          </w14:textFill>
        </w:rPr>
        <w:t>进展</w:t>
      </w:r>
      <w:r>
        <w:rPr>
          <w:rFonts w:cstheme="minorHAnsi"/>
          <w:b/>
          <w:bCs/>
          <w:color w:val="FFFFFF" w:themeColor="background1"/>
          <w14:textFill>
            <w14:solidFill>
              <w14:schemeClr w14:val="bg1"/>
            </w14:solidFill>
          </w14:textFill>
        </w:rPr>
        <w:t>报告</w:t>
      </w:r>
      <w:r>
        <w:rPr>
          <w:rFonts w:hint="eastAsia" w:cstheme="minorHAnsi"/>
          <w:b/>
          <w:bCs/>
          <w:color w:val="FFFFFF" w:themeColor="background1"/>
          <w14:textFill>
            <w14:solidFill>
              <w14:schemeClr w14:val="bg1"/>
            </w14:solidFill>
          </w14:textFill>
        </w:rPr>
        <w:t>（2</w:t>
      </w:r>
      <w:r>
        <w:rPr>
          <w:rFonts w:cstheme="minorHAnsi"/>
          <w:b/>
          <w:bCs/>
          <w:color w:val="FFFFFF" w:themeColor="background1"/>
          <w14:textFill>
            <w14:solidFill>
              <w14:schemeClr w14:val="bg1"/>
            </w14:solidFill>
          </w14:textFill>
        </w:rPr>
        <w:t>023</w:t>
      </w:r>
      <w:r>
        <w:rPr>
          <w:rFonts w:hint="eastAsia" w:cstheme="minorHAnsi"/>
          <w:b/>
          <w:bCs/>
          <w:color w:val="FFFFFF" w:themeColor="background1"/>
          <w14:textFill>
            <w14:solidFill>
              <w14:schemeClr w14:val="bg1"/>
            </w14:solidFill>
          </w14:textFill>
        </w:rPr>
        <w:t>版）</w:t>
      </w:r>
    </w:p>
    <w:bookmarkEnd w:id="0"/>
    <w:p>
      <w:pPr>
        <w:shd w:val="clear" w:color="auto" w:fill="2E75B5" w:themeFill="accent5" w:themeFillShade="BF"/>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Name of Project</w:t>
      </w:r>
      <w:r>
        <w:rPr>
          <w:rFonts w:ascii="Calibri" w:hAnsi="Calibri" w:cs="Calibri"/>
          <w:b/>
          <w:bCs/>
          <w:color w:val="FFFFFF"/>
          <w:lang w:eastAsia="zh-CN"/>
        </w:rPr>
        <w:t>项目名称</w:t>
      </w:r>
      <w:r>
        <w:rPr>
          <w:rFonts w:cstheme="minorHAnsi"/>
          <w:b/>
          <w:bCs/>
          <w:color w:val="FFFFFF" w:themeColor="background1"/>
          <w14:textFill>
            <w14:solidFill>
              <w14:schemeClr w14:val="bg1"/>
            </w14:solidFill>
          </w14:textFill>
        </w:rPr>
        <w:t xml:space="preserve">: </w:t>
      </w:r>
      <w:r>
        <w:rPr>
          <w:rFonts w:hint="eastAsia" w:cstheme="minorHAnsi"/>
          <w:b/>
          <w:bCs/>
          <w:color w:val="FFFFFF" w:themeColor="background1"/>
          <w14:textFill>
            <w14:solidFill>
              <w14:schemeClr w14:val="bg1"/>
            </w14:solidFill>
          </w14:textFill>
        </w:rPr>
        <w:t xml:space="preserve">Restoration of Degraded Natural Forests and </w:t>
      </w:r>
    </w:p>
    <w:p>
      <w:pPr>
        <w:shd w:val="clear" w:color="auto" w:fill="2E75B5" w:themeFill="accent5" w:themeFillShade="BF"/>
        <w:rPr>
          <w:rFonts w:cstheme="minorHAnsi"/>
          <w:b/>
          <w:bCs/>
          <w:color w:val="FFFFFF" w:themeColor="background1"/>
          <w14:textFill>
            <w14:solidFill>
              <w14:schemeClr w14:val="bg1"/>
            </w14:solidFill>
          </w14:textFill>
        </w:rPr>
      </w:pPr>
      <w:r>
        <w:rPr>
          <w:rFonts w:hint="eastAsia" w:cstheme="minorHAnsi"/>
          <w:b/>
          <w:bCs/>
          <w:color w:val="FFFFFF" w:themeColor="background1"/>
          <w14:textFill>
            <w14:solidFill>
              <w14:schemeClr w14:val="bg1"/>
            </w14:solidFill>
          </w14:textFill>
        </w:rPr>
        <w:t>Soil Erosion Management Improvement in Erosion-Prone Regions of China</w:t>
      </w:r>
    </w:p>
    <w:p>
      <w:pPr>
        <w:shd w:val="clear" w:color="auto" w:fill="2E75B5" w:themeFill="accent5" w:themeFillShade="BF"/>
        <w:rPr>
          <w:rFonts w:cstheme="minorHAnsi"/>
          <w:b/>
          <w:bCs/>
          <w:color w:val="FFFFFF" w:themeColor="background1"/>
          <w:lang w:eastAsia="zh-CN"/>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中国典型水土流失区退化天然林用地修复与管理</w:t>
      </w:r>
    </w:p>
    <w:p>
      <w:pPr>
        <w:shd w:val="clear" w:color="auto" w:fill="2E75B5" w:themeFill="accent5" w:themeFillShade="BF"/>
        <w:rPr>
          <w:rFonts w:cstheme="minorHAnsi"/>
          <w:b/>
          <w:bCs/>
          <w:color w:val="FFFFFF" w:themeColor="background1"/>
          <w:lang w:eastAsia="zh-CN"/>
          <w14:textFill>
            <w14:solidFill>
              <w14:schemeClr w14:val="bg1"/>
            </w14:solidFill>
          </w14:textFill>
        </w:rPr>
      </w:pPr>
    </w:p>
    <w:p>
      <w:pPr>
        <w:shd w:val="clear" w:color="auto" w:fill="2E75B5" w:themeFill="accent5" w:themeFillShade="BF"/>
        <w:rPr>
          <w:rFonts w:cstheme="minorHAnsi"/>
          <w:b/>
          <w:bCs/>
          <w:color w:val="FFFFFF" w:themeColor="background1"/>
          <w:lang w:eastAsia="zh-CN"/>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Date of report</w:t>
      </w:r>
      <w:r>
        <w:rPr>
          <w:rFonts w:ascii="Calibri" w:hAnsi="Calibri" w:cs="Calibri"/>
          <w:b/>
          <w:bCs/>
          <w:color w:val="FFFFFF"/>
          <w:lang w:eastAsia="zh-CN"/>
        </w:rPr>
        <w:t>报告完成日期</w:t>
      </w:r>
      <w:r>
        <w:rPr>
          <w:rFonts w:cstheme="minorHAnsi"/>
          <w:b/>
          <w:bCs/>
          <w:color w:val="FFFFFF" w:themeColor="background1"/>
          <w14:textFill>
            <w14:solidFill>
              <w14:schemeClr w14:val="bg1"/>
            </w14:solidFill>
          </w14:textFill>
        </w:rPr>
        <w:t xml:space="preserve">: </w:t>
      </w:r>
      <w:sdt>
        <w:sdtPr>
          <w:rPr>
            <w:rFonts w:cstheme="minorHAnsi"/>
            <w:b/>
            <w:bCs/>
            <w:i/>
            <w:iCs/>
            <w:color w:val="FFFFFF" w:themeColor="background1"/>
            <w14:textFill>
              <w14:solidFill>
                <w14:schemeClr w14:val="bg1"/>
              </w14:solidFill>
            </w14:textFill>
          </w:rPr>
          <w:id w:val="1864632488"/>
          <w:placeholder>
            <w:docPart w:val="CB55F06DC751453F98E30C95DD8A15B4"/>
          </w:placeholder>
          <w:showingPlcHdr/>
          <w:date>
            <w:dateFormat w:val="M/d/yyyy"/>
            <w:lid w:val="en-US"/>
            <w:storeMappedDataAs w:val="datetime"/>
            <w:calendar w:val="gregorian"/>
          </w:date>
        </w:sdtPr>
        <w:sdtEndPr>
          <w:rPr>
            <w:rFonts w:cstheme="minorHAnsi"/>
            <w:b/>
            <w:bCs/>
            <w:i w:val="0"/>
            <w:iCs w:val="0"/>
            <w:color w:val="FFFFFF" w:themeColor="background1"/>
            <w14:textFill>
              <w14:solidFill>
                <w14:schemeClr w14:val="bg1"/>
              </w14:solidFill>
            </w14:textFill>
          </w:rPr>
        </w:sdtEndPr>
        <w:sdtContent>
          <w:r>
            <w:rPr>
              <w:rStyle w:val="31"/>
              <w:b/>
              <w:bCs/>
              <w:i/>
              <w:iCs/>
              <w:color w:val="FFFF00"/>
            </w:rPr>
            <w:t>Click or tap to enter a date.</w:t>
          </w:r>
        </w:sdtContent>
      </w:sdt>
    </w:p>
    <w:p>
      <w:pPr>
        <w:shd w:val="clear" w:color="auto" w:fill="2E75B5" w:themeFill="accent5" w:themeFillShade="BF"/>
        <w:rPr>
          <w:rFonts w:cstheme="minorHAnsi"/>
          <w:b/>
          <w:bCs/>
          <w:color w:val="FFFFFF" w:themeColor="background1"/>
          <w14:textFill>
            <w14:solidFill>
              <w14:schemeClr w14:val="bg1"/>
            </w14:solidFill>
          </w14:textFill>
        </w:rPr>
      </w:pPr>
    </w:p>
    <w:p>
      <w:pPr>
        <w:shd w:val="clear" w:color="auto" w:fill="2E75B5" w:themeFill="accent5" w:themeFillShade="BF"/>
        <w:rPr>
          <w:rFonts w:cstheme="minorHAnsi"/>
          <w:b/>
          <w:bCs/>
          <w:color w:val="FFFFFF" w:themeColor="background1"/>
          <w14:textFill>
            <w14:solidFill>
              <w14:schemeClr w14:val="bg1"/>
            </w14:solidFill>
          </w14:textFill>
        </w:rPr>
      </w:pPr>
    </w:p>
    <w:p>
      <w:pPr>
        <w:rPr>
          <w:rFonts w:cstheme="minorHAnsi"/>
        </w:rPr>
      </w:pPr>
    </w:p>
    <w:p>
      <w:pPr>
        <w:pStyle w:val="2"/>
      </w:pPr>
      <w:r>
        <w:t>A. PROJECT PROFILES</w:t>
      </w:r>
      <w:r>
        <w:rPr>
          <w:rFonts w:ascii="Calibri" w:hAnsi="Calibri" w:cs="Times New Roman"/>
          <w:b w:val="0"/>
          <w:bCs w:val="0"/>
          <w:lang w:eastAsia="zh-CN"/>
        </w:rPr>
        <w:t>项目概况</w:t>
      </w:r>
    </w:p>
    <w:p>
      <w:pPr>
        <w:rPr>
          <w:rFonts w:cstheme="minorHAnsi"/>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Quantum Project ID</w:t>
            </w:r>
            <w:r>
              <w:rPr>
                <w:rFonts w:ascii="Calibri" w:hAnsi="Calibri" w:cs="Calibri"/>
                <w:b/>
                <w:bCs/>
                <w:lang w:eastAsia="zh-CN"/>
              </w:rPr>
              <w:t>编号</w:t>
            </w:r>
          </w:p>
        </w:tc>
        <w:tc>
          <w:tcPr>
            <w:tcW w:w="4150" w:type="dxa"/>
          </w:tcPr>
          <w:p>
            <w:pPr>
              <w:spacing w:line="276" w:lineRule="auto"/>
              <w:rPr>
                <w:rFonts w:cstheme="minorHAnsi"/>
                <w:lang w:eastAsia="zh-CN"/>
              </w:rPr>
            </w:pPr>
            <w:r>
              <w:rPr>
                <w:rFonts w:hint="eastAsia" w:cstheme="minorHAnsi"/>
              </w:rPr>
              <w:t>0011905</w:t>
            </w:r>
            <w:r>
              <w:rPr>
                <w:rFonts w:hint="eastAsia" w:cstheme="minorHAnsi"/>
                <w:lang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lang w:eastAsia="zh-CN"/>
              </w:rPr>
            </w:pPr>
            <w:r>
              <w:rPr>
                <w:rFonts w:cstheme="minorHAnsi"/>
                <w:b/>
                <w:bCs/>
              </w:rPr>
              <w:t>Project overall duration</w:t>
            </w:r>
            <w:r>
              <w:rPr>
                <w:rFonts w:hint="eastAsia" w:cstheme="minorHAnsi"/>
                <w:b/>
                <w:bCs/>
                <w:lang w:eastAsia="zh-CN"/>
              </w:rPr>
              <w:t>项目总周期</w:t>
            </w:r>
          </w:p>
        </w:tc>
        <w:tc>
          <w:tcPr>
            <w:tcW w:w="4150" w:type="dxa"/>
          </w:tcPr>
          <w:p>
            <w:pPr>
              <w:spacing w:line="276" w:lineRule="auto"/>
              <w:rPr>
                <w:rFonts w:cstheme="minorHAnsi"/>
                <w:lang w:eastAsia="zh-CN"/>
              </w:rPr>
            </w:pPr>
            <w:r>
              <w:rPr>
                <w:rFonts w:hint="eastAsia" w:cstheme="minorHAnsi"/>
                <w:lang w:eastAsia="zh-CN"/>
              </w:rPr>
              <w:t>2022.12.1--2027.12.1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Location(s)</w:t>
            </w:r>
            <w:r>
              <w:rPr>
                <w:rFonts w:hint="eastAsia" w:cstheme="minorHAnsi"/>
                <w:b/>
                <w:bCs/>
                <w:lang w:eastAsia="zh-CN"/>
              </w:rPr>
              <w:t>执行地点</w:t>
            </w:r>
          </w:p>
        </w:tc>
        <w:tc>
          <w:tcPr>
            <w:tcW w:w="4150" w:type="dxa"/>
          </w:tcPr>
          <w:p>
            <w:pPr>
              <w:spacing w:line="276" w:lineRule="auto"/>
              <w:rPr>
                <w:rFonts w:cstheme="minorHAnsi"/>
              </w:rPr>
            </w:pPr>
            <w:r>
              <w:rPr>
                <w:rFonts w:cstheme="minorHAnsi"/>
              </w:rPr>
              <w:t>Beijing, Xiaolongshan, Gansu Province; Wuxi County, Chongqing Municipality; Xishuangbanna area, Yunnan Province; Libo County, Guizhou Province; Changting County, Fujian Province,</w:t>
            </w:r>
          </w:p>
          <w:p>
            <w:pPr>
              <w:spacing w:line="276" w:lineRule="auto"/>
              <w:rPr>
                <w:rFonts w:hint="default" w:cstheme="minorHAnsi"/>
                <w:lang w:val="en-US" w:eastAsia="zh-CN"/>
              </w:rPr>
            </w:pPr>
            <w:r>
              <w:rPr>
                <w:rFonts w:hint="eastAsia" w:cstheme="minorHAnsi"/>
                <w:lang w:eastAsia="zh-CN"/>
              </w:rPr>
              <w:t>北京，甘肃</w:t>
            </w:r>
            <w:r>
              <w:rPr>
                <w:rFonts w:hint="eastAsia" w:cstheme="minorHAnsi"/>
                <w:lang w:val="en-US" w:eastAsia="zh-CN"/>
              </w:rPr>
              <w:t>省</w:t>
            </w:r>
            <w:r>
              <w:rPr>
                <w:rFonts w:hint="eastAsia" w:cstheme="minorHAnsi"/>
                <w:lang w:eastAsia="zh-CN"/>
              </w:rPr>
              <w:t>小陇山，重庆市巫溪</w:t>
            </w:r>
            <w:r>
              <w:rPr>
                <w:rFonts w:hint="eastAsia" w:cstheme="minorHAnsi"/>
                <w:lang w:val="en-US" w:eastAsia="zh-CN"/>
              </w:rPr>
              <w:t>县</w:t>
            </w:r>
            <w:r>
              <w:rPr>
                <w:rFonts w:hint="eastAsia" w:cstheme="minorHAnsi"/>
                <w:lang w:eastAsia="zh-CN"/>
              </w:rPr>
              <w:t>，云南省西双版纳</w:t>
            </w:r>
            <w:r>
              <w:rPr>
                <w:rFonts w:hint="eastAsia" w:cstheme="minorHAnsi"/>
                <w:lang w:val="en-US" w:eastAsia="zh-CN"/>
              </w:rPr>
              <w:t>地区</w:t>
            </w:r>
            <w:r>
              <w:rPr>
                <w:rFonts w:hint="eastAsia" w:cstheme="minorHAnsi"/>
                <w:lang w:eastAsia="zh-CN"/>
              </w:rPr>
              <w:t>，贵州省荔波</w:t>
            </w:r>
            <w:r>
              <w:rPr>
                <w:rFonts w:hint="eastAsia" w:cstheme="minorHAnsi"/>
                <w:lang w:val="en-US" w:eastAsia="zh-CN"/>
              </w:rPr>
              <w:t>县</w:t>
            </w:r>
            <w:r>
              <w:rPr>
                <w:rFonts w:hint="eastAsia" w:cstheme="minorHAnsi"/>
                <w:lang w:eastAsia="zh-CN"/>
              </w:rPr>
              <w:t>，福建省长汀</w:t>
            </w:r>
            <w:r>
              <w:rPr>
                <w:rFonts w:hint="eastAsia" w:cstheme="minorHAnsi"/>
                <w:lang w:val="en-US" w:eastAsia="zh-CN"/>
              </w:rPr>
              <w:t>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Implementing partner</w:t>
            </w:r>
            <w:r>
              <w:rPr>
                <w:rFonts w:hint="eastAsia" w:ascii="Calibri" w:hAnsi="Calibri" w:cs="Calibri"/>
                <w:b/>
                <w:bCs/>
                <w:lang w:eastAsia="zh-CN"/>
              </w:rPr>
              <w:t>执行</w:t>
            </w:r>
            <w:r>
              <w:rPr>
                <w:rFonts w:ascii="Calibri" w:hAnsi="Calibri" w:cs="Calibri"/>
                <w:b/>
                <w:bCs/>
                <w:lang w:eastAsia="zh-CN"/>
              </w:rPr>
              <w:t>伙伴</w:t>
            </w:r>
          </w:p>
        </w:tc>
        <w:tc>
          <w:tcPr>
            <w:tcW w:w="4150" w:type="dxa"/>
          </w:tcPr>
          <w:p>
            <w:pPr>
              <w:spacing w:line="276" w:lineRule="auto"/>
              <w:rPr>
                <w:rFonts w:cstheme="minorHAnsi"/>
                <w:lang w:eastAsia="zh-CN"/>
              </w:rPr>
            </w:pPr>
            <w:r>
              <w:rPr>
                <w:rFonts w:hint="eastAsia" w:cstheme="minorHAnsi"/>
                <w:lang w:eastAsia="zh-CN"/>
              </w:rPr>
              <w:t>NFGA</w:t>
            </w:r>
            <w:r>
              <w:rPr>
                <w:rFonts w:cstheme="minorHAnsi"/>
                <w:lang w:eastAsia="zh-CN"/>
              </w:rPr>
              <w:t xml:space="preserve">  </w:t>
            </w:r>
            <w:r>
              <w:rPr>
                <w:rFonts w:hint="eastAsia" w:cstheme="minorHAnsi"/>
                <w:lang w:eastAsia="zh-CN"/>
              </w:rPr>
              <w:t>国家林草局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Responsible party (if any)</w:t>
            </w:r>
            <w:r>
              <w:rPr>
                <w:rFonts w:hint="eastAsia" w:ascii="Calibri" w:hAnsi="Calibri" w:cs="Calibri"/>
                <w:b/>
                <w:bCs/>
                <w:lang w:eastAsia="zh-CN"/>
              </w:rPr>
              <w:t xml:space="preserve"> 责任方（如有）</w:t>
            </w:r>
          </w:p>
        </w:tc>
        <w:tc>
          <w:tcPr>
            <w:tcW w:w="4150" w:type="dxa"/>
          </w:tcPr>
          <w:p>
            <w:pPr>
              <w:spacing w:line="276" w:lineRule="auto"/>
              <w:rPr>
                <w:rFonts w:cstheme="minorHAns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 xml:space="preserve">UNDP Programme Officer </w:t>
            </w:r>
          </w:p>
          <w:p>
            <w:pPr>
              <w:spacing w:line="276" w:lineRule="auto"/>
              <w:rPr>
                <w:rFonts w:cstheme="minorHAnsi"/>
                <w:b/>
                <w:bCs/>
              </w:rPr>
            </w:pPr>
            <w:r>
              <w:rPr>
                <w:rFonts w:hint="eastAsia" w:cstheme="minorHAnsi"/>
                <w:b/>
                <w:bCs/>
                <w:lang w:eastAsia="zh-CN"/>
              </w:rPr>
              <w:t>UNDP项目官员</w:t>
            </w:r>
          </w:p>
        </w:tc>
        <w:tc>
          <w:tcPr>
            <w:tcW w:w="4150" w:type="dxa"/>
          </w:tcPr>
          <w:p>
            <w:pPr>
              <w:spacing w:line="276" w:lineRule="auto"/>
              <w:rPr>
                <w:rFonts w:cstheme="minorHAnsi"/>
                <w:lang w:eastAsia="zh-CN"/>
              </w:rPr>
            </w:pPr>
            <w:r>
              <w:rPr>
                <w:rFonts w:hint="eastAsia" w:cstheme="minorHAnsi"/>
                <w:lang w:eastAsia="zh-CN"/>
              </w:rPr>
              <w:t>Dr. Ma Chaode</w:t>
            </w:r>
            <w:r>
              <w:rPr>
                <w:rFonts w:cstheme="minorHAnsi"/>
                <w:lang w:eastAsia="zh-CN"/>
              </w:rPr>
              <w:t xml:space="preserve">  </w:t>
            </w:r>
            <w:r>
              <w:rPr>
                <w:rFonts w:hint="eastAsia" w:cstheme="minorHAnsi"/>
                <w:lang w:eastAsia="zh-CN"/>
              </w:rPr>
              <w:t>马超德博士</w:t>
            </w:r>
          </w:p>
        </w:tc>
      </w:tr>
    </w:tbl>
    <w:p>
      <w:pPr>
        <w:rPr>
          <w:rFonts w:cstheme="minorHAnsi"/>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Gender Marker</w:t>
            </w:r>
            <w:r>
              <w:rPr>
                <w:rFonts w:hint="eastAsia" w:cstheme="minorHAnsi"/>
                <w:b/>
                <w:bCs/>
                <w:lang w:eastAsia="zh-CN"/>
              </w:rPr>
              <w:t>性别标记</w:t>
            </w:r>
            <w:r>
              <w:rPr>
                <w:rFonts w:cstheme="minorHAnsi"/>
                <w:b/>
                <w:bCs/>
              </w:rPr>
              <w:t xml:space="preserve"> (GEN 1/2/3) </w:t>
            </w:r>
          </w:p>
        </w:tc>
        <w:tc>
          <w:tcPr>
            <w:tcW w:w="4150" w:type="dxa"/>
          </w:tcPr>
          <w:p>
            <w:pPr>
              <w:spacing w:line="276" w:lineRule="auto"/>
              <w:rPr>
                <w:rFonts w:cstheme="minorHAnsi"/>
                <w:i/>
                <w:iCs/>
                <w:lang w:eastAsia="zh-CN"/>
              </w:rPr>
            </w:pPr>
            <w:r>
              <w:rPr>
                <w:rFonts w:hint="eastAsia" w:cstheme="minorHAnsi"/>
                <w:i/>
                <w:iCs/>
                <w:lang w:eastAsia="zh-CN"/>
              </w:rPr>
              <w:t>GEN 2</w:t>
            </w:r>
            <w:r>
              <w:rPr>
                <w:rFonts w:cstheme="minorHAnsi"/>
                <w:i/>
                <w:iCs/>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 xml:space="preserve">Relevant CPD 2021-2025 output                 </w:t>
            </w:r>
            <w:r>
              <w:rPr>
                <w:rFonts w:ascii="Calibri" w:hAnsi="Calibri" w:cs="Calibri"/>
                <w:b/>
                <w:bCs/>
                <w:lang w:eastAsia="zh-CN"/>
              </w:rPr>
              <w:t>国别方案文件2021-2025的相关产出</w:t>
            </w:r>
          </w:p>
        </w:tc>
        <w:tc>
          <w:tcPr>
            <w:tcW w:w="4150" w:type="dxa"/>
          </w:tcPr>
          <w:p>
            <w:pPr>
              <w:spacing w:line="276" w:lineRule="auto"/>
              <w:rPr>
                <w:rFonts w:cstheme="minorHAnsi"/>
                <w:i/>
                <w:iCs/>
              </w:rPr>
            </w:pPr>
            <w:r>
              <w:rPr>
                <w:rFonts w:cstheme="minorHAnsi"/>
                <w:i/>
                <w:iCs/>
              </w:rPr>
              <w:t>CPD Output 2.1:  Adaptive policies developed at target level (subnational), financed and applied for nature-based systems to align with multilateral agreements and transboundary platforms.</w:t>
            </w:r>
          </w:p>
          <w:p>
            <w:pPr>
              <w:spacing w:line="276" w:lineRule="auto"/>
              <w:rPr>
                <w:rFonts w:cstheme="minorHAnsi"/>
                <w:i/>
                <w:iCs/>
                <w:lang w:eastAsia="zh-CN"/>
              </w:rPr>
            </w:pPr>
            <w:r>
              <w:rPr>
                <w:rFonts w:hint="eastAsia" w:cstheme="minorHAnsi"/>
                <w:i/>
                <w:iCs/>
                <w:lang w:eastAsia="zh-CN"/>
              </w:rPr>
              <w:t>国家方案文件产出2.1：在目标级（国家以下各级）制定适应性政策，为基于自然的系统提供资金并加以应用，以与多边协定和跨界平台保持一致。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Relevant SP output</w:t>
            </w:r>
          </w:p>
          <w:p>
            <w:pPr>
              <w:spacing w:line="276" w:lineRule="auto"/>
              <w:rPr>
                <w:rFonts w:cstheme="minorHAnsi"/>
                <w:b/>
                <w:bCs/>
              </w:rPr>
            </w:pPr>
            <w:r>
              <w:rPr>
                <w:rFonts w:hint="eastAsia" w:cstheme="minorHAnsi"/>
                <w:b/>
                <w:bCs/>
                <w:lang w:eastAsia="zh-CN"/>
              </w:rPr>
              <w:t>战略规划的相关产出</w:t>
            </w:r>
          </w:p>
        </w:tc>
        <w:tc>
          <w:tcPr>
            <w:tcW w:w="4150" w:type="dxa"/>
          </w:tcPr>
          <w:p>
            <w:pPr>
              <w:spacing w:line="276" w:lineRule="auto"/>
              <w:rPr>
                <w:rFonts w:cstheme="minorHAnsi"/>
                <w:i/>
                <w:iCs/>
                <w:lang w:eastAsia="zh-CN"/>
              </w:rPr>
            </w:pPr>
            <w:r>
              <w:rPr>
                <w:rFonts w:cstheme="minorHAnsi"/>
                <w:i/>
                <w:iCs/>
              </w:rPr>
              <w:t>SP Output 4.1 Natural resources protected and managed to enhance sustainable productivity and livelihoods</w:t>
            </w:r>
            <w:r>
              <w:rPr>
                <w:rFonts w:cstheme="minorHAnsi"/>
                <w:i/>
                <w:iCs/>
                <w:lang w:eastAsia="zh-CN"/>
              </w:rPr>
              <w:t>.</w:t>
            </w:r>
          </w:p>
          <w:p>
            <w:pPr>
              <w:spacing w:line="276" w:lineRule="auto"/>
              <w:rPr>
                <w:rFonts w:cstheme="minorHAnsi"/>
                <w:i/>
                <w:iCs/>
              </w:rPr>
            </w:pPr>
            <w:r>
              <w:rPr>
                <w:rFonts w:cstheme="minorHAnsi"/>
                <w:i/>
                <w:iCs/>
              </w:rPr>
              <w:t>SP Output 4.2 Public and private investment mechanisms mobilized for biodiversity, water, oceans, and climate solutions</w:t>
            </w:r>
          </w:p>
          <w:p>
            <w:pPr>
              <w:spacing w:line="276" w:lineRule="auto"/>
              <w:rPr>
                <w:rFonts w:cstheme="minorHAnsi"/>
                <w:i/>
                <w:iCs/>
                <w:lang w:eastAsia="zh-CN"/>
              </w:rPr>
            </w:pPr>
            <w:r>
              <w:rPr>
                <w:rFonts w:hint="eastAsia" w:cstheme="minorHAnsi"/>
                <w:i/>
                <w:iCs/>
                <w:lang w:eastAsia="zh-CN"/>
              </w:rPr>
              <w:t>产出4.1保护和管理自然资源，以提高可持续生产力和生计。</w:t>
            </w:r>
          </w:p>
          <w:p>
            <w:pPr>
              <w:spacing w:line="276" w:lineRule="auto"/>
              <w:rPr>
                <w:rFonts w:cstheme="minorHAnsi"/>
                <w:i/>
                <w:iCs/>
                <w:lang w:eastAsia="zh-CN"/>
              </w:rPr>
            </w:pPr>
            <w:r>
              <w:rPr>
                <w:rFonts w:hint="eastAsia" w:cstheme="minorHAnsi"/>
                <w:i/>
                <w:iCs/>
                <w:lang w:eastAsia="zh-CN"/>
              </w:rPr>
              <w:t>产出</w:t>
            </w:r>
            <w:r>
              <w:rPr>
                <w:rFonts w:cstheme="minorHAnsi"/>
                <w:i/>
                <w:iCs/>
                <w:lang w:eastAsia="zh-CN"/>
              </w:rPr>
              <w:t>4.2</w:t>
            </w:r>
            <w:r>
              <w:rPr>
                <w:rFonts w:hint="eastAsia" w:cstheme="minorHAnsi"/>
                <w:i/>
                <w:iCs/>
                <w:lang w:eastAsia="zh-CN"/>
              </w:rPr>
              <w:t>为生物多样性、水、海洋和</w:t>
            </w:r>
            <w:r>
              <w:rPr>
                <w:rFonts w:cstheme="minorHAnsi"/>
                <w:i/>
                <w:iCs/>
                <w:lang w:eastAsia="zh-CN"/>
              </w:rPr>
              <w:t> </w:t>
            </w:r>
            <w:r>
              <w:rPr>
                <w:rFonts w:hint="eastAsia" w:cstheme="minorHAnsi"/>
                <w:i/>
                <w:iCs/>
                <w:lang w:eastAsia="zh-CN"/>
              </w:rPr>
              <w:t>气候</w:t>
            </w:r>
            <w:r>
              <w:rPr>
                <w:rFonts w:hint="eastAsia" w:cstheme="minorHAnsi"/>
                <w:i/>
                <w:iCs/>
                <w:lang w:val="en-US" w:eastAsia="zh-CN"/>
              </w:rPr>
              <w:t>提供公共和私有投资机制的</w:t>
            </w:r>
            <w:r>
              <w:rPr>
                <w:rFonts w:hint="eastAsia" w:cstheme="minorHAnsi"/>
                <w:i/>
                <w:iCs/>
                <w:lang w:eastAsia="zh-CN"/>
              </w:rPr>
              <w:t>解决方案</w:t>
            </w:r>
          </w:p>
        </w:tc>
      </w:tr>
    </w:tbl>
    <w:p>
      <w:pPr>
        <w:rPr>
          <w:rFonts w:cstheme="minorHAnsi"/>
          <w:lang w:eastAsia="zh-CN"/>
        </w:rPr>
      </w:pPr>
    </w:p>
    <w:p>
      <w:pPr>
        <w:pStyle w:val="20"/>
      </w:pPr>
      <w:r>
        <w:rPr>
          <w:b/>
          <w:bCs/>
        </w:rPr>
        <w:t>Guidance</w:t>
      </w:r>
      <w:r>
        <w:t>. Please ensure data below are in line with the UNDP Quantum system.</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9"/>
        <w:gridCol w:w="41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Annual budget</w:t>
            </w:r>
          </w:p>
          <w:p>
            <w:pPr>
              <w:spacing w:line="276" w:lineRule="auto"/>
              <w:rPr>
                <w:rFonts w:cstheme="minorHAnsi"/>
                <w:b/>
                <w:bCs/>
              </w:rPr>
            </w:pPr>
            <w:r>
              <w:rPr>
                <w:rFonts w:cstheme="minorHAnsi"/>
                <w:b/>
                <w:bCs/>
              </w:rPr>
              <w:t>年度预算</w:t>
            </w:r>
          </w:p>
        </w:tc>
        <w:tc>
          <w:tcPr>
            <w:tcW w:w="4150" w:type="dxa"/>
          </w:tcPr>
          <w:p>
            <w:pPr>
              <w:spacing w:line="276" w:lineRule="auto"/>
              <w:rPr>
                <w:rFonts w:cstheme="minorHAnsi"/>
              </w:rPr>
            </w:pPr>
            <w:r>
              <w:rPr>
                <w:rFonts w:cstheme="minorHAnsi"/>
              </w:rPr>
              <w:t>301,058.00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 xml:space="preserve">Expenditure (to </w:t>
            </w:r>
            <w:r>
              <w:rPr>
                <w:rFonts w:cstheme="minorHAnsi"/>
                <w:b/>
                <w:bCs/>
                <w:color w:val="FF0000"/>
              </w:rPr>
              <w:t>27</w:t>
            </w:r>
            <w:r>
              <w:rPr>
                <w:rFonts w:hint="eastAsia" w:cstheme="minorHAnsi"/>
                <w:b/>
                <w:bCs/>
                <w:color w:val="FF0000"/>
                <w:lang w:eastAsia="zh-CN"/>
              </w:rPr>
              <w:t xml:space="preserve"> Nov</w:t>
            </w:r>
            <w:r>
              <w:rPr>
                <w:rFonts w:cstheme="minorHAnsi"/>
                <w:b/>
                <w:bCs/>
                <w:color w:val="FF0000"/>
                <w:lang w:eastAsia="zh-CN"/>
              </w:rPr>
              <w:t xml:space="preserve"> 2023</w:t>
            </w:r>
            <w:r>
              <w:rPr>
                <w:rFonts w:cstheme="minorHAnsi"/>
                <w:b/>
                <w:bCs/>
              </w:rPr>
              <w:t>)</w:t>
            </w:r>
          </w:p>
          <w:p>
            <w:pPr>
              <w:spacing w:line="276" w:lineRule="auto"/>
              <w:rPr>
                <w:rFonts w:cstheme="minorHAnsi"/>
                <w:b/>
                <w:bCs/>
                <w:lang w:eastAsia="zh-CN"/>
              </w:rPr>
            </w:pPr>
            <w:r>
              <w:rPr>
                <w:rFonts w:ascii="Calibri" w:hAnsi="Calibri" w:cs="Calibri"/>
                <w:b/>
                <w:bCs/>
                <w:lang w:eastAsia="zh-CN"/>
              </w:rPr>
              <w:t>项目支出</w:t>
            </w:r>
            <w:r>
              <w:rPr>
                <w:rFonts w:hint="eastAsia" w:ascii="Calibri" w:hAnsi="Calibri" w:cs="Calibri"/>
                <w:b/>
                <w:bCs/>
                <w:lang w:eastAsia="zh-CN"/>
              </w:rPr>
              <w:t>（截至报告撰写日期）</w:t>
            </w:r>
          </w:p>
        </w:tc>
        <w:tc>
          <w:tcPr>
            <w:tcW w:w="4150" w:type="dxa"/>
          </w:tcPr>
          <w:p>
            <w:pPr>
              <w:spacing w:line="276" w:lineRule="auto"/>
              <w:rPr>
                <w:rFonts w:cstheme="minorHAnsi"/>
                <w:lang w:eastAsia="zh-CN"/>
              </w:rPr>
            </w:pPr>
            <w:r>
              <w:rPr>
                <w:rFonts w:cstheme="minorHAnsi"/>
                <w:lang w:eastAsia="zh-CN"/>
              </w:rPr>
              <w:t>120,691.60</w:t>
            </w:r>
          </w:p>
          <w:p>
            <w:pPr>
              <w:spacing w:line="276" w:lineRule="auto"/>
              <w:rPr>
                <w:rFonts w:cstheme="minorHAnsi"/>
                <w:lang w:eastAsia="zh-CN"/>
              </w:rPr>
            </w:pPr>
            <w:r>
              <w:rPr>
                <w:rFonts w:hint="eastAsia" w:cstheme="minorHAnsi"/>
                <w:lang w:eastAsia="zh-CN"/>
              </w:rPr>
              <w:t>（截至2</w:t>
            </w:r>
            <w:r>
              <w:rPr>
                <w:rFonts w:cstheme="minorHAnsi"/>
                <w:lang w:eastAsia="zh-CN"/>
              </w:rPr>
              <w:t>023</w:t>
            </w:r>
            <w:r>
              <w:rPr>
                <w:rFonts w:hint="eastAsia" w:cstheme="minorHAnsi"/>
                <w:lang w:eastAsia="zh-CN"/>
              </w:rPr>
              <w:t>年1</w:t>
            </w:r>
            <w:r>
              <w:rPr>
                <w:rFonts w:cstheme="minorHAnsi"/>
                <w:lang w:eastAsia="zh-CN"/>
              </w:rPr>
              <w:t>1</w:t>
            </w:r>
            <w:r>
              <w:rPr>
                <w:rFonts w:hint="eastAsia" w:cstheme="minorHAnsi"/>
                <w:lang w:eastAsia="zh-CN"/>
              </w:rPr>
              <w:t>月2</w:t>
            </w:r>
            <w:r>
              <w:rPr>
                <w:rFonts w:cstheme="minorHAnsi"/>
                <w:lang w:eastAsia="zh-CN"/>
              </w:rPr>
              <w:t>7</w:t>
            </w:r>
            <w:r>
              <w:rPr>
                <w:rFonts w:hint="eastAsia" w:cstheme="minorHAnsi"/>
                <w:lang w:eastAsia="zh-C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9" w:type="dxa"/>
          </w:tcPr>
          <w:p>
            <w:pPr>
              <w:spacing w:line="276" w:lineRule="auto"/>
              <w:rPr>
                <w:rFonts w:cstheme="minorHAnsi"/>
                <w:b/>
                <w:bCs/>
              </w:rPr>
            </w:pPr>
            <w:r>
              <w:rPr>
                <w:rFonts w:cstheme="minorHAnsi"/>
                <w:b/>
                <w:bCs/>
              </w:rPr>
              <w:t>Delivery rate (to date)</w:t>
            </w:r>
          </w:p>
          <w:p>
            <w:pPr>
              <w:spacing w:line="276" w:lineRule="auto"/>
              <w:rPr>
                <w:rFonts w:cstheme="minorHAnsi"/>
                <w:b/>
                <w:bCs/>
                <w:lang w:eastAsia="zh-CN"/>
              </w:rPr>
            </w:pPr>
            <w:r>
              <w:rPr>
                <w:rFonts w:hint="eastAsia" w:ascii="Calibri" w:hAnsi="Calibri" w:cs="Calibri"/>
                <w:b/>
                <w:bCs/>
                <w:lang w:eastAsia="zh-CN"/>
              </w:rPr>
              <w:t>执行率（截至报告撰写日期）</w:t>
            </w:r>
          </w:p>
        </w:tc>
        <w:tc>
          <w:tcPr>
            <w:tcW w:w="4150" w:type="dxa"/>
          </w:tcPr>
          <w:p>
            <w:pPr>
              <w:spacing w:line="276" w:lineRule="auto"/>
              <w:rPr>
                <w:rFonts w:cstheme="minorHAnsi"/>
                <w:lang w:eastAsia="zh-CN"/>
              </w:rPr>
            </w:pPr>
            <w:r>
              <w:rPr>
                <w:rFonts w:hint="eastAsia" w:cstheme="minorHAnsi"/>
                <w:lang w:eastAsia="zh-CN"/>
              </w:rPr>
              <w:t>4</w:t>
            </w:r>
            <w:r>
              <w:rPr>
                <w:rFonts w:cstheme="minorHAnsi"/>
                <w:lang w:eastAsia="zh-CN"/>
              </w:rPr>
              <w:t>0%</w:t>
            </w:r>
          </w:p>
          <w:p>
            <w:pPr>
              <w:spacing w:line="276" w:lineRule="auto"/>
              <w:rPr>
                <w:rFonts w:cstheme="minorHAnsi"/>
                <w:lang w:eastAsia="zh-CN"/>
              </w:rPr>
            </w:pPr>
            <w:r>
              <w:rPr>
                <w:rFonts w:hint="eastAsia" w:cstheme="minorHAnsi"/>
                <w:lang w:eastAsia="zh-CN"/>
              </w:rPr>
              <w:t>（截至2</w:t>
            </w:r>
            <w:r>
              <w:rPr>
                <w:rFonts w:cstheme="minorHAnsi"/>
                <w:lang w:eastAsia="zh-CN"/>
              </w:rPr>
              <w:t>023</w:t>
            </w:r>
            <w:r>
              <w:rPr>
                <w:rFonts w:hint="eastAsia" w:cstheme="minorHAnsi"/>
                <w:lang w:eastAsia="zh-CN"/>
              </w:rPr>
              <w:t>年1</w:t>
            </w:r>
            <w:r>
              <w:rPr>
                <w:rFonts w:cstheme="minorHAnsi"/>
                <w:lang w:eastAsia="zh-CN"/>
              </w:rPr>
              <w:t>1</w:t>
            </w:r>
            <w:r>
              <w:rPr>
                <w:rFonts w:hint="eastAsia" w:cstheme="minorHAnsi"/>
                <w:lang w:eastAsia="zh-CN"/>
              </w:rPr>
              <w:t>月2</w:t>
            </w:r>
            <w:r>
              <w:rPr>
                <w:rFonts w:cstheme="minorHAnsi"/>
                <w:lang w:eastAsia="zh-CN"/>
              </w:rPr>
              <w:t>7</w:t>
            </w:r>
            <w:r>
              <w:rPr>
                <w:rFonts w:hint="eastAsia" w:cstheme="minorHAnsi"/>
                <w:lang w:eastAsia="zh-CN"/>
              </w:rPr>
              <w:t>日）</w:t>
            </w:r>
          </w:p>
        </w:tc>
      </w:tr>
    </w:tbl>
    <w:p>
      <w:pPr>
        <w:rPr>
          <w:rFonts w:cstheme="minorHAnsi"/>
          <w:lang w:eastAsia="zh-CN"/>
        </w:rPr>
      </w:pPr>
    </w:p>
    <w:p>
      <w:pPr>
        <w:rPr>
          <w:rFonts w:cstheme="minorHAnsi"/>
          <w:color w:val="FF0000"/>
          <w:lang w:eastAsia="zh-CN"/>
        </w:rPr>
        <w:sectPr>
          <w:headerReference r:id="rId5" w:type="first"/>
          <w:footerReference r:id="rId7" w:type="first"/>
          <w:headerReference r:id="rId4" w:type="default"/>
          <w:footerReference r:id="rId6" w:type="default"/>
          <w:pgSz w:w="11909" w:h="16834"/>
          <w:pgMar w:top="1440" w:right="1800" w:bottom="1440" w:left="1800" w:header="720" w:footer="720" w:gutter="0"/>
          <w:cols w:space="720" w:num="1"/>
          <w:titlePg/>
          <w:docGrid w:linePitch="360" w:charSpace="0"/>
        </w:sectPr>
      </w:pPr>
    </w:p>
    <w:p>
      <w:pPr>
        <w:pStyle w:val="2"/>
      </w:pPr>
      <w:r>
        <w:t>B. RESULTS</w:t>
      </w:r>
      <w:r>
        <w:rPr>
          <w:rFonts w:hint="eastAsia"/>
          <w:lang w:eastAsia="zh-CN"/>
        </w:rPr>
        <w:t>结果</w:t>
      </w:r>
    </w:p>
    <w:p>
      <w:pPr>
        <w:rPr>
          <w:rFonts w:cstheme="minorHAnsi"/>
        </w:rPr>
      </w:pPr>
    </w:p>
    <w:p>
      <w:pPr>
        <w:pStyle w:val="3"/>
      </w:pPr>
      <w:r>
        <w:t>B.1 Results Towards the Annual Work Plan</w:t>
      </w:r>
      <w:r>
        <w:rPr>
          <w:rFonts w:hint="eastAsia" w:ascii="Calibri" w:hAnsi="Calibri" w:cs="Times New Roman"/>
          <w:b w:val="0"/>
          <w:u w:val="none"/>
        </w:rPr>
        <w:t>基于年度工作计划的进展和结果</w:t>
      </w:r>
    </w:p>
    <w:p>
      <w:pPr>
        <w:pStyle w:val="20"/>
        <w:rPr>
          <w:b/>
          <w:bCs/>
        </w:rPr>
      </w:pPr>
    </w:p>
    <w:p>
      <w:pPr>
        <w:pStyle w:val="20"/>
      </w:pPr>
      <w:r>
        <w:rPr>
          <w:b/>
          <w:bCs/>
        </w:rPr>
        <w:t>Guidance</w:t>
      </w:r>
      <w:r>
        <w:t>.</w:t>
      </w:r>
    </w:p>
    <w:p>
      <w:pPr>
        <w:pStyle w:val="20"/>
        <w:numPr>
          <w:ilvl w:val="0"/>
          <w:numId w:val="1"/>
        </w:numPr>
      </w:pPr>
      <w:r>
        <w:t>On the “</w:t>
      </w:r>
      <w:r>
        <w:rPr>
          <w:b/>
          <w:bCs/>
        </w:rPr>
        <w:t>Project outcome/output statement</w:t>
      </w:r>
      <w:r>
        <w:t>”, please stick to those project outcomes and outputs stated in the AWP. The reporting should be based on the first level of the structure.</w:t>
      </w:r>
    </w:p>
    <w:p>
      <w:pPr>
        <w:pStyle w:val="20"/>
        <w:numPr>
          <w:ilvl w:val="0"/>
          <w:numId w:val="1"/>
        </w:numPr>
        <w:rPr>
          <w:b/>
          <w:bCs/>
        </w:rPr>
      </w:pPr>
      <w:r>
        <w:t>On the “</w:t>
      </w:r>
      <w:r>
        <w:rPr>
          <w:b/>
          <w:bCs/>
        </w:rPr>
        <w:t>Result,</w:t>
      </w:r>
      <w:r>
        <w:t xml:space="preserve"> </w:t>
      </w:r>
      <w:r>
        <w:rPr>
          <w:b/>
          <w:bCs/>
        </w:rPr>
        <w:t>backed up by evidence and segregated data</w:t>
      </w:r>
      <w:r>
        <w:t xml:space="preserve">” columns, please focus on the </w:t>
      </w:r>
      <w:r>
        <w:rPr>
          <w:b/>
          <w:bCs/>
        </w:rPr>
        <w:t>results</w:t>
      </w:r>
      <w:r>
        <w:t xml:space="preserve"> of the project </w:t>
      </w:r>
      <w:r>
        <w:rPr>
          <w:lang w:eastAsia="zh-CN"/>
        </w:rPr>
        <w:t>(</w:t>
      </w:r>
      <w:r>
        <w:t>instead of the “process”</w:t>
      </w:r>
      <w:r>
        <w:rPr>
          <w:lang w:eastAsia="zh-CN"/>
        </w:rPr>
        <w:t>) with credible evidence and segregated data</w:t>
      </w:r>
      <w:r>
        <w:t>. The report should also focus more on gender equality and women empowerment, digitalization, innovation and partnerships, as applicable.</w:t>
      </w:r>
    </w:p>
    <w:p>
      <w:pPr>
        <w:pStyle w:val="20"/>
        <w:numPr>
          <w:ilvl w:val="0"/>
          <w:numId w:val="1"/>
        </w:numPr>
      </w:pPr>
      <w:r>
        <w:t>On the “</w:t>
      </w:r>
      <w:r>
        <w:rPr>
          <w:b/>
          <w:bCs/>
        </w:rPr>
        <w:t>Indicator</w:t>
      </w:r>
      <w:r>
        <w:t xml:space="preserve">” section, please </w:t>
      </w:r>
      <w:r>
        <w:rPr>
          <w:rFonts w:hint="eastAsia"/>
          <w:lang w:eastAsia="zh-CN"/>
        </w:rPr>
        <w:t>stick</w:t>
      </w:r>
      <w:r>
        <w:t xml:space="preserve"> to the the indicators, baselines, and final targets from the AWP, and provide the actual level.</w:t>
      </w:r>
    </w:p>
    <w:p>
      <w:pPr>
        <w:pStyle w:val="20"/>
        <w:rPr>
          <w:rFonts w:cstheme="minorHAnsi"/>
          <w:b/>
          <w:bCs/>
        </w:rPr>
      </w:pPr>
      <w:r>
        <w:rPr>
          <w:rFonts w:hint="eastAsia" w:cstheme="minorHAnsi"/>
          <w:b/>
          <w:bCs/>
          <w:lang w:eastAsia="zh-CN"/>
        </w:rPr>
        <w:t>说明</w:t>
      </w:r>
    </w:p>
    <w:p>
      <w:pPr>
        <w:pStyle w:val="20"/>
        <w:numPr>
          <w:ilvl w:val="0"/>
          <w:numId w:val="1"/>
        </w:numPr>
        <w:rPr>
          <w:rFonts w:cstheme="minorHAnsi"/>
          <w:lang w:eastAsia="zh-CN"/>
        </w:rPr>
      </w:pPr>
      <w:r>
        <w:rPr>
          <w:rFonts w:hint="eastAsia" w:cstheme="minorHAnsi"/>
          <w:lang w:eastAsia="zh-CN"/>
        </w:rPr>
        <w:t>在“</w:t>
      </w:r>
      <w:r>
        <w:rPr>
          <w:rFonts w:hint="eastAsia" w:cstheme="minorHAnsi"/>
          <w:b/>
          <w:bCs/>
          <w:lang w:eastAsia="zh-CN"/>
        </w:rPr>
        <w:t>项目成果/产出说明</w:t>
      </w:r>
      <w:r>
        <w:rPr>
          <w:rFonts w:hint="eastAsia" w:cstheme="minorHAnsi"/>
          <w:lang w:eastAsia="zh-CN"/>
        </w:rPr>
        <w:t>”一列，</w:t>
      </w:r>
      <w:r>
        <w:rPr>
          <w:rFonts w:cstheme="minorHAnsi"/>
          <w:lang w:eastAsia="zh-CN"/>
        </w:rPr>
        <w:t>请</w:t>
      </w:r>
      <w:r>
        <w:rPr>
          <w:rFonts w:hint="eastAsia" w:cstheme="minorHAnsi"/>
          <w:lang w:eastAsia="zh-CN"/>
        </w:rPr>
        <w:t>填写项目的</w:t>
      </w:r>
      <w:r>
        <w:rPr>
          <w:rFonts w:cstheme="minorHAnsi"/>
          <w:lang w:eastAsia="zh-CN"/>
        </w:rPr>
        <w:t>年度工作计划</w:t>
      </w:r>
      <w:r>
        <w:rPr>
          <w:rFonts w:hint="eastAsia" w:cstheme="minorHAnsi"/>
          <w:lang w:eastAsia="zh-CN"/>
        </w:rPr>
        <w:t>中所确定的成果与产出</w:t>
      </w:r>
      <w:r>
        <w:rPr>
          <w:rFonts w:cstheme="minorHAnsi"/>
          <w:lang w:eastAsia="zh-CN"/>
        </w:rPr>
        <w:t>。</w:t>
      </w:r>
    </w:p>
    <w:p>
      <w:pPr>
        <w:pStyle w:val="20"/>
        <w:numPr>
          <w:ilvl w:val="0"/>
          <w:numId w:val="1"/>
        </w:numPr>
        <w:rPr>
          <w:rFonts w:cstheme="minorHAnsi"/>
          <w:lang w:eastAsia="zh-CN"/>
        </w:rPr>
      </w:pPr>
      <w:r>
        <w:rPr>
          <w:rFonts w:hint="eastAsia" w:cstheme="minorHAnsi"/>
          <w:lang w:eastAsia="zh-CN"/>
        </w:rPr>
        <w:t>在“</w:t>
      </w:r>
      <w:r>
        <w:rPr>
          <w:rFonts w:hint="eastAsia" w:cstheme="minorHAnsi"/>
          <w:b/>
          <w:bCs/>
          <w:lang w:eastAsia="zh-CN"/>
        </w:rPr>
        <w:t>有证据和分类数据支持的结果</w:t>
      </w:r>
      <w:r>
        <w:rPr>
          <w:rFonts w:hint="eastAsia" w:cstheme="minorHAnsi"/>
          <w:lang w:eastAsia="zh-CN"/>
        </w:rPr>
        <w:t>”栏中，请重点关注具有可信证据和分类数据的项目结果（而不是“过程”）。报告还应更多地关注性别平等和妇女赋权、数字化、创新和伙伴关系（如适用）。</w:t>
      </w:r>
    </w:p>
    <w:p>
      <w:pPr>
        <w:pStyle w:val="20"/>
        <w:numPr>
          <w:ilvl w:val="0"/>
          <w:numId w:val="1"/>
        </w:numPr>
        <w:rPr>
          <w:rFonts w:cstheme="minorHAnsi"/>
          <w:lang w:eastAsia="zh-CN"/>
        </w:rPr>
      </w:pPr>
      <w:r>
        <w:rPr>
          <w:rFonts w:hint="eastAsia" w:cstheme="minorHAnsi"/>
          <w:lang w:eastAsia="zh-CN"/>
        </w:rPr>
        <w:t>在“</w:t>
      </w:r>
      <w:r>
        <w:rPr>
          <w:rFonts w:hint="eastAsia" w:cstheme="minorHAnsi"/>
          <w:b/>
          <w:bCs/>
          <w:lang w:eastAsia="zh-CN"/>
        </w:rPr>
        <w:t>指标</w:t>
      </w:r>
      <w:r>
        <w:rPr>
          <w:rFonts w:hint="eastAsia" w:cstheme="minorHAnsi"/>
          <w:lang w:eastAsia="zh-CN"/>
        </w:rPr>
        <w:t>”一列，请填写项目的</w:t>
      </w:r>
      <w:r>
        <w:rPr>
          <w:rFonts w:cstheme="minorHAnsi"/>
          <w:lang w:eastAsia="zh-CN"/>
        </w:rPr>
        <w:t>年度工作计划</w:t>
      </w:r>
      <w:r>
        <w:rPr>
          <w:rFonts w:hint="eastAsia" w:cstheme="minorHAnsi"/>
          <w:lang w:eastAsia="zh-CN"/>
        </w:rPr>
        <w:t>中的指标、基线和最终目标，并提供实际水平。</w:t>
      </w:r>
    </w:p>
    <w:p>
      <w:pPr>
        <w:pStyle w:val="11"/>
        <w:rPr>
          <w:lang w:eastAsia="zh-CN"/>
        </w:rPr>
      </w:pPr>
    </w:p>
    <w:p>
      <w:pPr>
        <w:pStyle w:val="11"/>
        <w:rPr>
          <w:lang w:eastAsia="zh-CN"/>
        </w:rPr>
      </w:pP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8"/>
        <w:gridCol w:w="4101"/>
        <w:gridCol w:w="2250"/>
        <w:gridCol w:w="2250"/>
        <w:gridCol w:w="1562"/>
        <w:gridCol w:w="20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blHeader/>
        </w:trPr>
        <w:tc>
          <w:tcPr>
            <w:tcW w:w="677" w:type="pct"/>
            <w:shd w:val="clear" w:color="auto" w:fill="2E75B5" w:themeFill="accent5" w:themeFillShade="BF"/>
          </w:tcPr>
          <w:p>
            <w:pPr>
              <w:rPr>
                <w:b/>
                <w:color w:val="FFFFFF" w:themeColor="background1"/>
                <w14:textFill>
                  <w14:solidFill>
                    <w14:schemeClr w14:val="bg1"/>
                  </w14:solidFill>
                </w14:textFill>
              </w:rPr>
            </w:pPr>
            <w:r>
              <w:rPr>
                <w:b/>
                <w:color w:val="FFFFFF" w:themeColor="background1"/>
                <w14:textFill>
                  <w14:solidFill>
                    <w14:schemeClr w14:val="bg1"/>
                  </w14:solidFill>
                </w14:textFill>
              </w:rPr>
              <w:t>Project outcome/output statement</w:t>
            </w:r>
          </w:p>
          <w:p>
            <w:pPr>
              <w:rPr>
                <w:b/>
                <w:color w:val="FFFFFF" w:themeColor="background1"/>
                <w14:textFill>
                  <w14:solidFill>
                    <w14:schemeClr w14:val="bg1"/>
                  </w14:solidFill>
                </w14:textFill>
              </w:rPr>
            </w:pPr>
            <w:r>
              <w:rPr>
                <w:rFonts w:ascii="Calibri" w:hAnsi="Calibri" w:cs="Calibri"/>
                <w:b/>
                <w:bCs/>
                <w:color w:val="FFFFFF"/>
              </w:rPr>
              <w:t>项目</w:t>
            </w:r>
            <w:r>
              <w:rPr>
                <w:rFonts w:hint="eastAsia" w:ascii="Calibri" w:hAnsi="Calibri" w:cs="Calibri"/>
                <w:b/>
                <w:bCs/>
                <w:color w:val="FFFFFF"/>
                <w:lang w:eastAsia="zh-CN"/>
              </w:rPr>
              <w:t>成果与</w:t>
            </w:r>
            <w:r>
              <w:rPr>
                <w:rFonts w:ascii="Calibri" w:hAnsi="Calibri" w:cs="Calibri"/>
                <w:b/>
                <w:bCs/>
                <w:color w:val="FFFFFF"/>
              </w:rPr>
              <w:t>产出</w:t>
            </w:r>
          </w:p>
        </w:tc>
        <w:tc>
          <w:tcPr>
            <w:tcW w:w="1447" w:type="pct"/>
            <w:shd w:val="clear" w:color="auto" w:fill="2E75B5" w:themeFill="accent5" w:themeFillShade="BF"/>
          </w:tcPr>
          <w:p>
            <w:pPr>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Results, backed up by evidence and segregated data</w:t>
            </w:r>
          </w:p>
          <w:p>
            <w:pPr>
              <w:rPr>
                <w:rFonts w:cstheme="minorHAnsi"/>
                <w:b/>
                <w:bCs/>
                <w:color w:val="FFFFFF" w:themeColor="background1"/>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结果、</w:t>
            </w:r>
            <w:r>
              <w:rPr>
                <w:rFonts w:cstheme="minorHAnsi"/>
                <w:b/>
                <w:bCs/>
                <w:color w:val="FFFFFF" w:themeColor="background1"/>
                <w14:textFill>
                  <w14:solidFill>
                    <w14:schemeClr w14:val="bg1"/>
                  </w14:solidFill>
                </w14:textFill>
              </w:rPr>
              <w:t>数据及证据</w:t>
            </w:r>
          </w:p>
        </w:tc>
        <w:tc>
          <w:tcPr>
            <w:tcW w:w="794" w:type="pct"/>
            <w:shd w:val="clear" w:color="auto" w:fill="2E75B5" w:themeFill="accent5" w:themeFillShade="BF"/>
          </w:tcPr>
          <w:p>
            <w:pPr>
              <w:rPr>
                <w:rFonts w:cstheme="minorHAnsi"/>
                <w:b/>
                <w:bCs/>
                <w:color w:val="FFFFFF" w:themeColor="background1"/>
                <w14:textFill>
                  <w14:solidFill>
                    <w14:schemeClr w14:val="bg1"/>
                  </w14:solidFill>
                </w14:textFill>
              </w:rPr>
            </w:pPr>
            <w:r>
              <w:rPr>
                <w:rFonts w:cstheme="minorHAnsi"/>
                <w:b/>
                <w:bCs/>
                <w:color w:val="FFFFFF" w:themeColor="background1"/>
                <w14:textFill>
                  <w14:solidFill>
                    <w14:schemeClr w14:val="bg1"/>
                  </w14:solidFill>
                </w14:textFill>
              </w:rPr>
              <w:t>Indicator</w:t>
            </w:r>
          </w:p>
          <w:p>
            <w:pPr>
              <w:rPr>
                <w:rFonts w:cstheme="minorHAnsi"/>
                <w:b/>
                <w:bCs/>
                <w:color w:val="FFFFFF" w:themeColor="background1"/>
                <w14:textFill>
                  <w14:solidFill>
                    <w14:schemeClr w14:val="bg1"/>
                  </w14:solidFill>
                </w14:textFill>
              </w:rPr>
            </w:pPr>
            <w:r>
              <w:rPr>
                <w:rFonts w:hint="eastAsia" w:cstheme="minorHAnsi"/>
                <w:b/>
                <w:bCs/>
                <w:color w:val="FFFFFF" w:themeColor="background1"/>
                <w:lang w:eastAsia="zh-CN"/>
                <w14:textFill>
                  <w14:solidFill>
                    <w14:schemeClr w14:val="bg1"/>
                  </w14:solidFill>
                </w14:textFill>
              </w:rPr>
              <w:t>指标</w:t>
            </w:r>
          </w:p>
        </w:tc>
        <w:tc>
          <w:tcPr>
            <w:tcW w:w="794" w:type="pct"/>
            <w:shd w:val="clear" w:color="auto" w:fill="2E75B5" w:themeFill="accent5" w:themeFillShade="BF"/>
          </w:tcPr>
          <w:p>
            <w:pPr>
              <w:rPr>
                <w:rFonts w:cstheme="minorHAnsi"/>
                <w:b/>
                <w:color w:val="FFFFFF" w:themeColor="background1"/>
                <w14:textFill>
                  <w14:solidFill>
                    <w14:schemeClr w14:val="bg1"/>
                  </w14:solidFill>
                </w14:textFill>
              </w:rPr>
            </w:pPr>
            <w:r>
              <w:rPr>
                <w:rFonts w:hint="eastAsia" w:cstheme="minorHAnsi"/>
                <w:b/>
                <w:color w:val="FFFFFF" w:themeColor="background1"/>
                <w14:textFill>
                  <w14:solidFill>
                    <w14:schemeClr w14:val="bg1"/>
                  </w14:solidFill>
                </w14:textFill>
              </w:rPr>
              <w:t>B</w:t>
            </w:r>
            <w:r>
              <w:rPr>
                <w:rFonts w:cstheme="minorHAnsi"/>
                <w:b/>
                <w:color w:val="FFFFFF" w:themeColor="background1"/>
                <w14:textFill>
                  <w14:solidFill>
                    <w14:schemeClr w14:val="bg1"/>
                  </w14:solidFill>
                </w14:textFill>
              </w:rPr>
              <w:t>aseline Level</w:t>
            </w:r>
          </w:p>
          <w:p>
            <w:pPr>
              <w:rPr>
                <w:rFonts w:cstheme="minorHAnsi"/>
                <w:b/>
                <w:color w:val="FFFFFF" w:themeColor="background1"/>
                <w14:textFill>
                  <w14:solidFill>
                    <w14:schemeClr w14:val="bg1"/>
                  </w14:solidFill>
                </w14:textFill>
              </w:rPr>
            </w:pPr>
            <w:r>
              <w:rPr>
                <w:rFonts w:hint="eastAsia" w:cstheme="minorHAnsi"/>
                <w:b/>
                <w:color w:val="FFFFFF" w:themeColor="background1"/>
                <w:lang w:eastAsia="zh-CN"/>
                <w14:textFill>
                  <w14:solidFill>
                    <w14:schemeClr w14:val="bg1"/>
                  </w14:solidFill>
                </w14:textFill>
              </w:rPr>
              <w:t>基线水平</w:t>
            </w:r>
          </w:p>
        </w:tc>
        <w:tc>
          <w:tcPr>
            <w:tcW w:w="551" w:type="pct"/>
            <w:shd w:val="clear" w:color="auto" w:fill="2E75B5" w:themeFill="accent5" w:themeFillShade="BF"/>
          </w:tcPr>
          <w:p>
            <w:pPr>
              <w:rPr>
                <w:rFonts w:cstheme="minorHAnsi"/>
                <w:b/>
                <w:color w:val="FFFFFF" w:themeColor="background1"/>
                <w:lang w:eastAsia="zh-CN"/>
                <w14:textFill>
                  <w14:solidFill>
                    <w14:schemeClr w14:val="bg1"/>
                  </w14:solidFill>
                </w14:textFill>
              </w:rPr>
            </w:pPr>
            <w:r>
              <w:rPr>
                <w:rFonts w:hint="eastAsia" w:cstheme="minorHAnsi"/>
                <w:b/>
                <w:color w:val="FFFFFF" w:themeColor="background1"/>
                <w:lang w:eastAsia="zh-CN"/>
                <w14:textFill>
                  <w14:solidFill>
                    <w14:schemeClr w14:val="bg1"/>
                  </w14:solidFill>
                </w14:textFill>
              </w:rPr>
              <w:t>L</w:t>
            </w:r>
            <w:r>
              <w:rPr>
                <w:rFonts w:cstheme="minorHAnsi"/>
                <w:b/>
                <w:color w:val="FFFFFF" w:themeColor="background1"/>
                <w:lang w:eastAsia="zh-CN"/>
                <w14:textFill>
                  <w14:solidFill>
                    <w14:schemeClr w14:val="bg1"/>
                  </w14:solidFill>
                </w14:textFill>
              </w:rPr>
              <w:t>evel as of end-2023</w:t>
            </w:r>
          </w:p>
          <w:p>
            <w:pPr>
              <w:rPr>
                <w:rFonts w:cstheme="minorHAnsi"/>
                <w:b/>
                <w:color w:val="FFFFFF" w:themeColor="background1"/>
                <w:lang w:eastAsia="zh-CN"/>
                <w14:textFill>
                  <w14:solidFill>
                    <w14:schemeClr w14:val="bg1"/>
                  </w14:solidFill>
                </w14:textFill>
              </w:rPr>
            </w:pPr>
            <w:r>
              <w:rPr>
                <w:rFonts w:hint="eastAsia" w:cstheme="minorHAnsi"/>
                <w:b/>
                <w:color w:val="FFFFFF" w:themeColor="background1"/>
                <w:lang w:eastAsia="zh-CN"/>
                <w14:textFill>
                  <w14:solidFill>
                    <w14:schemeClr w14:val="bg1"/>
                  </w14:solidFill>
                </w14:textFill>
              </w:rPr>
              <w:t>2</w:t>
            </w:r>
            <w:r>
              <w:rPr>
                <w:rFonts w:cstheme="minorHAnsi"/>
                <w:b/>
                <w:color w:val="FFFFFF" w:themeColor="background1"/>
                <w:lang w:eastAsia="zh-CN"/>
                <w14:textFill>
                  <w14:solidFill>
                    <w14:schemeClr w14:val="bg1"/>
                  </w14:solidFill>
                </w14:textFill>
              </w:rPr>
              <w:t>023</w:t>
            </w:r>
            <w:r>
              <w:rPr>
                <w:rFonts w:hint="eastAsia" w:cstheme="minorHAnsi"/>
                <w:b/>
                <w:color w:val="FFFFFF" w:themeColor="background1"/>
                <w:lang w:eastAsia="zh-CN"/>
                <w14:textFill>
                  <w14:solidFill>
                    <w14:schemeClr w14:val="bg1"/>
                  </w14:solidFill>
                </w14:textFill>
              </w:rPr>
              <w:t>年底水平</w:t>
            </w:r>
          </w:p>
        </w:tc>
        <w:tc>
          <w:tcPr>
            <w:tcW w:w="738" w:type="pct"/>
            <w:shd w:val="clear" w:color="auto" w:fill="2E75B5" w:themeFill="accent5" w:themeFillShade="BF"/>
          </w:tcPr>
          <w:p>
            <w:pPr>
              <w:rPr>
                <w:rFonts w:cstheme="minorHAnsi"/>
                <w:b/>
                <w:color w:val="FFFFFF" w:themeColor="background1"/>
                <w14:textFill>
                  <w14:solidFill>
                    <w14:schemeClr w14:val="bg1"/>
                  </w14:solidFill>
                </w14:textFill>
              </w:rPr>
            </w:pPr>
            <w:r>
              <w:rPr>
                <w:rFonts w:cstheme="minorHAnsi"/>
                <w:b/>
                <w:color w:val="FFFFFF" w:themeColor="background1"/>
                <w14:textFill>
                  <w14:solidFill>
                    <w14:schemeClr w14:val="bg1"/>
                  </w14:solidFill>
                </w14:textFill>
              </w:rPr>
              <w:t>Annual Target Level</w:t>
            </w:r>
          </w:p>
          <w:p>
            <w:pPr>
              <w:rPr>
                <w:rFonts w:cstheme="minorHAnsi"/>
                <w:b/>
                <w:color w:val="FFFFFF" w:themeColor="background1"/>
                <w14:textFill>
                  <w14:solidFill>
                    <w14:schemeClr w14:val="bg1"/>
                  </w14:solidFill>
                </w14:textFill>
              </w:rPr>
            </w:pPr>
            <w:r>
              <w:rPr>
                <w:rFonts w:hint="eastAsia" w:cstheme="minorHAnsi"/>
                <w:b/>
                <w:color w:val="FFFFFF" w:themeColor="background1"/>
                <w:lang w:eastAsia="zh-CN"/>
                <w14:textFill>
                  <w14:solidFill>
                    <w14:schemeClr w14:val="bg1"/>
                  </w14:solidFill>
                </w14:textFill>
              </w:rPr>
              <w:t>年度计划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677" w:type="pct"/>
          </w:tcPr>
          <w:p>
            <w:pPr>
              <w:rPr>
                <w:rFonts w:ascii="Calibri" w:hAnsi="Calibri" w:cs="Calibri"/>
                <w:b/>
                <w:bCs/>
                <w:color w:val="000000"/>
                <w:sz w:val="24"/>
                <w:szCs w:val="24"/>
                <w:lang w:eastAsia="zh-CN"/>
              </w:rPr>
            </w:pPr>
            <w:r>
              <w:rPr>
                <w:rFonts w:ascii="Calibri" w:hAnsi="Calibri" w:cs="Calibri"/>
                <w:b/>
                <w:bCs/>
                <w:color w:val="000000"/>
                <w:sz w:val="24"/>
                <w:szCs w:val="24"/>
                <w:lang w:eastAsia="zh-CN"/>
              </w:rPr>
              <w:t>Outcome 1</w:t>
            </w:r>
            <w:r>
              <w:rPr>
                <w:rFonts w:hint="eastAsia" w:ascii="宋体" w:hAnsi="宋体" w:cs="Calibri"/>
                <w:b/>
                <w:bCs/>
                <w:color w:val="000000"/>
                <w:sz w:val="24"/>
                <w:szCs w:val="24"/>
                <w:lang w:eastAsia="zh-CN"/>
              </w:rPr>
              <w:t>：</w:t>
            </w:r>
            <w:r>
              <w:rPr>
                <w:rFonts w:ascii="Calibri" w:hAnsi="Calibri" w:cs="Calibri"/>
                <w:b/>
                <w:bCs/>
                <w:color w:val="000000"/>
                <w:sz w:val="24"/>
                <w:szCs w:val="24"/>
                <w:lang w:eastAsia="zh-CN"/>
              </w:rPr>
              <w:t xml:space="preserve"> Multi-level governance and landscape approaches for FLR and LDN in degraded NFUL areas enabled through strengthened policy frameworks and institutional capacities at national and subnational levels</w:t>
            </w:r>
          </w:p>
          <w:p>
            <w:pPr>
              <w:rPr>
                <w:rFonts w:ascii="Calibri" w:hAnsi="Calibri" w:cs="Calibri"/>
                <w:b/>
                <w:bCs/>
                <w:color w:val="000000"/>
                <w:sz w:val="24"/>
                <w:szCs w:val="24"/>
                <w:lang w:eastAsia="zh-CN"/>
              </w:rPr>
            </w:pPr>
            <w:r>
              <w:rPr>
                <w:rFonts w:hint="eastAsia" w:ascii="Calibri" w:hAnsi="Calibri" w:cs="Calibri"/>
                <w:b/>
                <w:bCs/>
                <w:color w:val="000000"/>
                <w:sz w:val="24"/>
                <w:szCs w:val="24"/>
                <w:lang w:eastAsia="zh-CN"/>
              </w:rPr>
              <w:t>成果1：通过加强国家和地方各级的政策框架和机构能力，实现在天然林退化区域对森林景观恢复和土地退化零增长的多层级治理和景观方法。</w:t>
            </w:r>
          </w:p>
          <w:p>
            <w:pPr>
              <w:rPr>
                <w:rFonts w:ascii="Calibri" w:hAnsi="Calibri" w:cs="Calibri"/>
                <w:b/>
                <w:bCs/>
                <w:color w:val="000000"/>
                <w:sz w:val="24"/>
                <w:szCs w:val="24"/>
                <w:lang w:eastAsia="zh-CN"/>
              </w:rPr>
            </w:pP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Five landscapes have prepared and been executing their project work plan according to the TYWP.</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五个景观区已经根据双年度工作计划制定并正在执行他们的项目工作计划。</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Indicator 4: Enabling environment strengthened, as measured by (a) a national level </w:t>
            </w:r>
            <w:r>
              <w:rPr>
                <w:rFonts w:hint="eastAsia" w:ascii="Calibri" w:hAnsi="Calibri" w:cs="Calibri"/>
                <w:color w:val="000000"/>
                <w:sz w:val="24"/>
                <w:szCs w:val="24"/>
                <w:lang w:eastAsia="zh-CN"/>
              </w:rPr>
              <w:t>road-map</w:t>
            </w:r>
            <w:r>
              <w:rPr>
                <w:rFonts w:ascii="Calibri" w:hAnsi="Calibri" w:cs="Calibri"/>
                <w:color w:val="000000"/>
                <w:sz w:val="24"/>
                <w:szCs w:val="24"/>
                <w:lang w:eastAsia="zh-CN"/>
              </w:rPr>
              <w:t xml:space="preserve"> for sustainable management of NFUL endorsed and supported by an improved policy framework; and (b) the number of landscapes NFUL strategies approved.</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指标4：有利环境得到加强。衡量标准是：（a） 国家级的天然林用地可持续管理路线图得到批准，并得到改进后的政策框架的支持；以及 （b） 天然林用地景观战略的数量获得批准</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(a) Ecological Rehabilitation Program (ERP) updated in 2020; and (b) Provincial Forestry Bureaus plans are made according to the ERP.</w:t>
            </w:r>
          </w:p>
          <w:p>
            <w:pPr>
              <w:rPr>
                <w:rFonts w:ascii="Calibri" w:hAnsi="Calibri" w:cs="Calibri"/>
                <w:color w:val="000000"/>
                <w:sz w:val="24"/>
                <w:szCs w:val="24"/>
                <w:lang w:eastAsia="zh-CN"/>
              </w:rPr>
            </w:pPr>
            <w:r>
              <w:rPr>
                <w:rFonts w:hint="eastAsia" w:ascii="Calibri" w:hAnsi="Calibri" w:cs="Calibri"/>
                <w:color w:val="000000"/>
                <w:sz w:val="24"/>
                <w:szCs w:val="24"/>
                <w:lang w:eastAsia="zh-CN"/>
              </w:rPr>
              <w:t>（a）生态修复工程（ERP）于 2020 年更新；以及 （b） 省林业</w:t>
            </w:r>
            <w:r>
              <w:rPr>
                <w:rFonts w:hint="eastAsia" w:ascii="Calibri" w:hAnsi="Calibri" w:cs="Calibri"/>
                <w:color w:val="000000"/>
                <w:sz w:val="24"/>
                <w:szCs w:val="24"/>
                <w:lang w:val="en-US" w:eastAsia="zh-CN"/>
              </w:rPr>
              <w:t>主管部门</w:t>
            </w:r>
            <w:r>
              <w:rPr>
                <w:rFonts w:hint="eastAsia" w:ascii="Calibri" w:hAnsi="Calibri" w:cs="Calibri"/>
                <w:color w:val="000000"/>
                <w:sz w:val="24"/>
                <w:szCs w:val="24"/>
                <w:lang w:eastAsia="zh-CN"/>
              </w:rPr>
              <w:t>根据生态恢复方案制定计划</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1.1: National, provincial and local NFUL conservation statutes reviewed and amended, or new statutes introduced to promote FLR of NFUL.</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产出1.1：审查和修订国家、省和地方天然林用地保护法规，或引入新法规，以促进天然林用地的森林景观恢复。</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National Policy Development Consultants for the national and the subnational have been recruit</w:t>
            </w:r>
            <w:r>
              <w:rPr>
                <w:rFonts w:hint="eastAsia" w:ascii="Calibri" w:hAnsi="Calibri" w:cs="Calibri"/>
                <w:color w:val="000000"/>
                <w:sz w:val="24"/>
                <w:szCs w:val="24"/>
                <w:lang w:eastAsia="zh-CN"/>
              </w:rPr>
              <w:t>ing</w:t>
            </w:r>
            <w:r>
              <w:rPr>
                <w:rFonts w:ascii="Calibri" w:hAnsi="Calibri" w:cs="Calibri"/>
                <w:color w:val="000000"/>
                <w:sz w:val="24"/>
                <w:szCs w:val="24"/>
                <w:lang w:eastAsia="zh-CN"/>
              </w:rPr>
              <w:t xml:space="preserve"> to carry out updated policy gap analysis, and prepare policy briefs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招聘国家级和地方级的政策发展顾问，以开展最新的政策空缺分析，并编写政策简报</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0</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P</w:t>
            </w:r>
            <w:r>
              <w:rPr>
                <w:rFonts w:ascii="Calibri" w:hAnsi="Calibri" w:cs="Calibri"/>
                <w:color w:val="000000"/>
                <w:sz w:val="24"/>
                <w:szCs w:val="24"/>
                <w:lang w:eastAsia="zh-CN"/>
              </w:rPr>
              <w:t>olicy gap analysis, and policy briefs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政策空缺分析，并编写政策简报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0"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1.2: National-level roadmap for sustainable management of NFUL adopted by NFGA and transcribed into landscape level NFUL strategies with secured resources and mechanisms for implementation.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产出1.2：国家林草局采纳天然林用地可持续管理的国家路线图，并转化为具有保障资源和实施机制的景观层面天然林用地策略。</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National NFUL Roadmap Consultant has been recruited to carry out updated review national level strategies / plans for NFUL restoration.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正在聘请国家天然林用地（N</w:t>
            </w:r>
            <w:r>
              <w:rPr>
                <w:rFonts w:ascii="Calibri" w:hAnsi="Calibri" w:cs="Calibri"/>
                <w:color w:val="000000"/>
                <w:sz w:val="24"/>
                <w:szCs w:val="24"/>
                <w:lang w:eastAsia="zh-CN"/>
              </w:rPr>
              <w:t>FUL</w:t>
            </w:r>
            <w:r>
              <w:rPr>
                <w:rFonts w:hint="eastAsia" w:ascii="Calibri" w:hAnsi="Calibri" w:cs="Calibri"/>
                <w:color w:val="000000"/>
                <w:sz w:val="24"/>
                <w:szCs w:val="24"/>
                <w:lang w:eastAsia="zh-CN"/>
              </w:rPr>
              <w:t>）路线图顾问对国家级NFUL恢复战略/计划进行最新审查。</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0</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Updated review national level strategies/plans for NFUL restoration.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更新了NFUL恢复的国家级战略/计划审查。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8"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1.3: Indicator system for monitoring and evaluating the implementation of FLR of NFUL developed, demonstrated in the project landscapes, and adopted in other NFUL areas in China.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产出1.3：开发指标体系，用于监测和评估天然林用地森林景观恢复项目的实施，在五个景观区开展示范，并在中国其他天然林用地区域推广应用。</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Sub-contractor's service has been purchased to develop a</w:t>
            </w:r>
            <w:r>
              <w:rPr>
                <w:rFonts w:hint="eastAsia" w:ascii="Calibri" w:hAnsi="Calibri" w:cs="Calibri"/>
                <w:color w:val="000000"/>
                <w:sz w:val="24"/>
                <w:szCs w:val="24"/>
                <w:lang w:eastAsia="zh-CN"/>
              </w:rPr>
              <w:t>n</w:t>
            </w:r>
            <w:r>
              <w:rPr>
                <w:rFonts w:ascii="Calibri" w:hAnsi="Calibri" w:cs="Calibri"/>
                <w:color w:val="000000"/>
                <w:sz w:val="24"/>
                <w:szCs w:val="24"/>
                <w:lang w:eastAsia="zh-CN"/>
              </w:rPr>
              <w:t xml:space="preserve"> indicator system for monitoring and evaluating the implementation of FLR of NFUL.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购买分包商的服务，以开发用于监测和评估NFUL FLR（森林景观恢复）实施情况的指标系统。</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0</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w:t>
            </w:r>
            <w:r>
              <w:rPr>
                <w:rFonts w:hint="eastAsia" w:ascii="Calibri" w:hAnsi="Calibri" w:cs="Calibri"/>
                <w:color w:val="000000"/>
                <w:sz w:val="24"/>
                <w:szCs w:val="24"/>
                <w:lang w:eastAsia="zh-CN"/>
              </w:rPr>
              <w:t>/</w:t>
            </w:r>
            <w:r>
              <w:rPr>
                <w:rFonts w:ascii="Calibri" w:hAnsi="Calibri" w:cs="Calibri"/>
                <w:color w:val="000000"/>
                <w:sz w:val="24"/>
                <w:szCs w:val="24"/>
                <w:lang w:eastAsia="zh-CN"/>
              </w:rPr>
              <w:t>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6"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1.4: National and subnational institutional capacities strengthened for sustainable management of NFUL</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产出1.4：加强国家和地方各级的机构能力，设计和实施天然林用地区域的多层级森林景观恢复治理。</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On 16 March, UNDP China delivered the training on UNDP-GEP project management for PMOs in Beijing.</w:t>
            </w:r>
            <w:r>
              <w:rPr>
                <w:rFonts w:ascii="Calibri" w:hAnsi="Calibri" w:cs="Calibri"/>
                <w:color w:val="000000"/>
                <w:sz w:val="24"/>
                <w:szCs w:val="24"/>
                <w:lang w:eastAsia="zh-CN"/>
              </w:rPr>
              <w:br w:type="textWrapping"/>
            </w:r>
            <w:r>
              <w:rPr>
                <w:rFonts w:ascii="Calibri" w:hAnsi="Calibri" w:cs="Calibri"/>
                <w:color w:val="000000"/>
                <w:sz w:val="24"/>
                <w:szCs w:val="24"/>
                <w:lang w:eastAsia="zh-CN"/>
              </w:rPr>
              <w:br w:type="textWrapping"/>
            </w:r>
            <w:r>
              <w:rPr>
                <w:rFonts w:ascii="Calibri" w:hAnsi="Calibri" w:cs="Calibri"/>
                <w:color w:val="000000"/>
                <w:sz w:val="24"/>
                <w:szCs w:val="24"/>
                <w:lang w:eastAsia="zh-CN"/>
              </w:rPr>
              <w:t xml:space="preserve">On 25-26 Sep, training was delivered to all stakeholders during the inception workshop in Changting, Fujian Province. </w:t>
            </w:r>
            <w:r>
              <w:rPr>
                <w:rFonts w:ascii="Calibri" w:hAnsi="Calibri" w:cs="Calibri"/>
                <w:color w:val="000000"/>
                <w:sz w:val="24"/>
                <w:szCs w:val="24"/>
                <w:lang w:eastAsia="zh-CN"/>
              </w:rPr>
              <w:br w:type="textWrapping"/>
            </w:r>
            <w:r>
              <w:rPr>
                <w:rFonts w:ascii="Calibri" w:hAnsi="Calibri" w:cs="Calibri"/>
                <w:color w:val="000000"/>
                <w:sz w:val="24"/>
                <w:szCs w:val="24"/>
                <w:lang w:eastAsia="zh-CN"/>
              </w:rPr>
              <w:br w:type="textWrapping"/>
            </w:r>
            <w:r>
              <w:rPr>
                <w:rFonts w:ascii="Calibri" w:hAnsi="Calibri" w:cs="Calibri"/>
                <w:color w:val="000000"/>
                <w:sz w:val="24"/>
                <w:szCs w:val="24"/>
                <w:lang w:eastAsia="zh-CN"/>
              </w:rPr>
              <w:t>On 10, Dec, training was delivered for NFGA and 5 landscapes in Chongqing.</w:t>
            </w:r>
            <w:r>
              <w:rPr>
                <w:rFonts w:ascii="Calibri" w:hAnsi="Calibri" w:cs="Calibri"/>
                <w:color w:val="000000"/>
                <w:sz w:val="24"/>
                <w:szCs w:val="24"/>
                <w:lang w:eastAsia="zh-CN"/>
              </w:rPr>
              <w:br w:type="textWrapping"/>
            </w:r>
            <w:r>
              <w:rPr>
                <w:rFonts w:ascii="Calibri" w:hAnsi="Calibri" w:cs="Calibri"/>
                <w:color w:val="000000"/>
                <w:sz w:val="24"/>
                <w:szCs w:val="24"/>
                <w:lang w:eastAsia="zh-CN"/>
              </w:rPr>
              <w:br w:type="textWrapping"/>
            </w:r>
            <w:r>
              <w:rPr>
                <w:rFonts w:ascii="Calibri" w:hAnsi="Calibri" w:cs="Calibri"/>
                <w:color w:val="000000"/>
                <w:sz w:val="24"/>
                <w:szCs w:val="24"/>
                <w:lang w:eastAsia="zh-CN"/>
              </w:rPr>
              <w:t>The training was focused on UNDP-GEF project management for PMOs.  Altogether 150+ participants (30% female) joined these sessions. The presenters were from UNDP, experts, and 5 landscapers’ representatives, etc.</w:t>
            </w:r>
          </w:p>
          <w:p>
            <w:pPr>
              <w:rPr>
                <w:rFonts w:ascii="Calibri" w:hAnsi="Calibri" w:cs="Calibri"/>
                <w:color w:val="000000"/>
                <w:sz w:val="24"/>
                <w:szCs w:val="24"/>
                <w:lang w:eastAsia="zh-CN"/>
              </w:rPr>
            </w:pPr>
            <w:r>
              <w:rPr>
                <w:rFonts w:hint="eastAsia" w:ascii="Calibri" w:hAnsi="Calibri" w:cs="Calibri"/>
                <w:color w:val="000000"/>
                <w:sz w:val="24"/>
                <w:szCs w:val="24"/>
                <w:lang w:eastAsia="zh-CN"/>
              </w:rPr>
              <w:t>3月16日，开发计划署中国办事处在北京为项目办举办了开发计划署-全球环境方案项目管理培训。</w:t>
            </w:r>
          </w:p>
          <w:p>
            <w:pPr>
              <w:rPr>
                <w:rFonts w:ascii="Calibri" w:hAnsi="Calibri" w:cs="Calibri"/>
                <w:color w:val="000000"/>
                <w:sz w:val="24"/>
                <w:szCs w:val="24"/>
                <w:lang w:eastAsia="zh-CN"/>
              </w:rPr>
            </w:pPr>
          </w:p>
          <w:p>
            <w:pPr>
              <w:rPr>
                <w:rFonts w:ascii="Calibri" w:hAnsi="Calibri" w:cs="Calibri"/>
                <w:color w:val="000000"/>
                <w:sz w:val="24"/>
                <w:szCs w:val="24"/>
                <w:lang w:eastAsia="zh-CN"/>
              </w:rPr>
            </w:pPr>
            <w:r>
              <w:rPr>
                <w:rFonts w:hint="eastAsia" w:ascii="Calibri" w:hAnsi="Calibri" w:cs="Calibri"/>
                <w:color w:val="000000"/>
                <w:sz w:val="24"/>
                <w:szCs w:val="24"/>
                <w:lang w:eastAsia="zh-CN"/>
              </w:rPr>
              <w:t>9月25日至26日，在福建长汀举行启动研讨会上，向利益相关者提供了培训。</w:t>
            </w:r>
          </w:p>
          <w:p>
            <w:pPr>
              <w:rPr>
                <w:rFonts w:ascii="Calibri" w:hAnsi="Calibri" w:cs="Calibri"/>
                <w:color w:val="000000"/>
                <w:sz w:val="24"/>
                <w:szCs w:val="24"/>
                <w:lang w:eastAsia="zh-CN"/>
              </w:rPr>
            </w:pPr>
          </w:p>
          <w:p>
            <w:pPr>
              <w:rPr>
                <w:rFonts w:ascii="Calibri" w:hAnsi="Calibri" w:cs="Calibri"/>
                <w:color w:val="000000"/>
                <w:sz w:val="24"/>
                <w:szCs w:val="24"/>
                <w:lang w:eastAsia="zh-CN"/>
              </w:rPr>
            </w:pPr>
            <w:r>
              <w:rPr>
                <w:rFonts w:hint="eastAsia" w:ascii="Calibri" w:hAnsi="Calibri" w:cs="Calibri"/>
                <w:color w:val="000000"/>
                <w:sz w:val="24"/>
                <w:szCs w:val="24"/>
                <w:lang w:eastAsia="zh-CN"/>
              </w:rPr>
              <w:t>12月，在重庆举行5个景观区的培训。</w:t>
            </w:r>
          </w:p>
          <w:p>
            <w:pPr>
              <w:rPr>
                <w:rFonts w:ascii="Calibri" w:hAnsi="Calibri" w:cs="Calibri"/>
                <w:color w:val="000000"/>
                <w:sz w:val="24"/>
                <w:szCs w:val="24"/>
                <w:lang w:eastAsia="zh-CN"/>
              </w:rPr>
            </w:pPr>
          </w:p>
          <w:p>
            <w:pPr>
              <w:rPr>
                <w:rFonts w:ascii="Calibri" w:hAnsi="Calibri" w:cs="Calibri"/>
                <w:color w:val="000000"/>
                <w:sz w:val="24"/>
                <w:szCs w:val="24"/>
                <w:lang w:eastAsia="zh-CN"/>
              </w:rPr>
            </w:pPr>
            <w:r>
              <w:rPr>
                <w:rFonts w:hint="eastAsia" w:ascii="Calibri" w:hAnsi="Calibri" w:cs="Calibri"/>
                <w:color w:val="000000"/>
                <w:sz w:val="24"/>
                <w:szCs w:val="24"/>
                <w:lang w:eastAsia="zh-CN"/>
              </w:rPr>
              <w:t>上述培训的重点是项目管理。共有150多名参与者（约30%为女性）参加了这些会议。主讲人来自联合国开发计划署、专家和5个项目景观区的代表等。</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5: Capacities of forestry institutions improved, as measured by increases in the cumulative values of the Capacity Development (CD) Scorecard for (a) NFGA, (b) Gansu, (c) Chongqing, (d) Yunnan, (e) Guizhou, (f) Fujian.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指标5：林业机构的能力得到提高。以（a）国家林草局、（b） 甘肃、（c） 重庆、（d） 云南、（e） 贵州、（f） 福建的能力发展计分卡累计值的增加来衡量。</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Cumulative CD scores:</w:t>
            </w:r>
            <w:r>
              <w:rPr>
                <w:rFonts w:ascii="Calibri" w:hAnsi="Calibri" w:cs="Calibri"/>
                <w:color w:val="000000"/>
                <w:sz w:val="24"/>
                <w:szCs w:val="24"/>
                <w:lang w:eastAsia="zh-CN"/>
              </w:rPr>
              <w:br w:type="textWrapping"/>
            </w:r>
            <w:r>
              <w:rPr>
                <w:rFonts w:ascii="Calibri" w:hAnsi="Calibri" w:cs="Calibri"/>
                <w:color w:val="000000"/>
                <w:sz w:val="24"/>
                <w:szCs w:val="24"/>
                <w:lang w:eastAsia="zh-CN"/>
              </w:rPr>
              <w:t>(a) NFGA: 28</w:t>
            </w:r>
            <w:r>
              <w:rPr>
                <w:rFonts w:ascii="Calibri" w:hAnsi="Calibri" w:cs="Calibri"/>
                <w:color w:val="000000"/>
                <w:sz w:val="24"/>
                <w:szCs w:val="24"/>
                <w:lang w:eastAsia="zh-CN"/>
              </w:rPr>
              <w:br w:type="textWrapping"/>
            </w:r>
            <w:r>
              <w:rPr>
                <w:rFonts w:ascii="Calibri" w:hAnsi="Calibri" w:cs="Calibri"/>
                <w:color w:val="000000"/>
                <w:sz w:val="24"/>
                <w:szCs w:val="24"/>
                <w:lang w:eastAsia="zh-CN"/>
              </w:rPr>
              <w:t>(b) Gansu: 17</w:t>
            </w:r>
            <w:r>
              <w:rPr>
                <w:rFonts w:ascii="Calibri" w:hAnsi="Calibri" w:cs="Calibri"/>
                <w:color w:val="000000"/>
                <w:sz w:val="24"/>
                <w:szCs w:val="24"/>
                <w:lang w:eastAsia="zh-CN"/>
              </w:rPr>
              <w:br w:type="textWrapping"/>
            </w:r>
            <w:r>
              <w:rPr>
                <w:rFonts w:ascii="Calibri" w:hAnsi="Calibri" w:cs="Calibri"/>
                <w:color w:val="000000"/>
                <w:sz w:val="24"/>
                <w:szCs w:val="24"/>
                <w:lang w:eastAsia="zh-CN"/>
              </w:rPr>
              <w:t>(c) Chongqing: 19</w:t>
            </w:r>
            <w:r>
              <w:rPr>
                <w:rFonts w:ascii="Calibri" w:hAnsi="Calibri" w:cs="Calibri"/>
                <w:color w:val="000000"/>
                <w:sz w:val="24"/>
                <w:szCs w:val="24"/>
                <w:lang w:eastAsia="zh-CN"/>
              </w:rPr>
              <w:br w:type="textWrapping"/>
            </w:r>
            <w:r>
              <w:rPr>
                <w:rFonts w:ascii="Calibri" w:hAnsi="Calibri" w:cs="Calibri"/>
                <w:color w:val="000000"/>
                <w:sz w:val="24"/>
                <w:szCs w:val="24"/>
                <w:lang w:eastAsia="zh-CN"/>
              </w:rPr>
              <w:t>(d) Yunnan: 20</w:t>
            </w:r>
            <w:r>
              <w:rPr>
                <w:rFonts w:ascii="Calibri" w:hAnsi="Calibri" w:cs="Calibri"/>
                <w:color w:val="000000"/>
                <w:sz w:val="24"/>
                <w:szCs w:val="24"/>
                <w:lang w:eastAsia="zh-CN"/>
              </w:rPr>
              <w:br w:type="textWrapping"/>
            </w:r>
            <w:r>
              <w:rPr>
                <w:rFonts w:ascii="Calibri" w:hAnsi="Calibri" w:cs="Calibri"/>
                <w:color w:val="000000"/>
                <w:sz w:val="24"/>
                <w:szCs w:val="24"/>
                <w:lang w:eastAsia="zh-CN"/>
              </w:rPr>
              <w:t>(e) Guizhou: 27</w:t>
            </w:r>
            <w:r>
              <w:rPr>
                <w:rFonts w:ascii="Calibri" w:hAnsi="Calibri" w:cs="Calibri"/>
                <w:color w:val="000000"/>
                <w:sz w:val="24"/>
                <w:szCs w:val="24"/>
                <w:lang w:eastAsia="zh-CN"/>
              </w:rPr>
              <w:br w:type="textWrapping"/>
            </w:r>
            <w:r>
              <w:rPr>
                <w:rFonts w:ascii="Calibri" w:hAnsi="Calibri" w:cs="Calibri"/>
                <w:color w:val="000000"/>
                <w:sz w:val="24"/>
                <w:szCs w:val="24"/>
                <w:lang w:eastAsia="zh-CN"/>
              </w:rPr>
              <w:t>(f): Fujian: 20</w:t>
            </w:r>
          </w:p>
          <w:p>
            <w:pPr>
              <w:rPr>
                <w:rFonts w:ascii="Calibri" w:hAnsi="Calibri" w:cs="Calibri"/>
                <w:color w:val="000000"/>
                <w:sz w:val="24"/>
                <w:szCs w:val="24"/>
                <w:lang w:eastAsia="zh-CN"/>
              </w:rPr>
            </w:pPr>
            <w:r>
              <w:rPr>
                <w:rFonts w:hint="eastAsia" w:ascii="Calibri" w:hAnsi="Calibri" w:cs="Calibri"/>
                <w:color w:val="000000"/>
                <w:sz w:val="24"/>
                <w:szCs w:val="24"/>
                <w:lang w:eastAsia="zh-CN"/>
              </w:rPr>
              <w:t>累计CD分数：</w:t>
            </w:r>
          </w:p>
          <w:p>
            <w:pPr>
              <w:rPr>
                <w:rFonts w:ascii="Calibri" w:hAnsi="Calibri" w:cs="Calibri"/>
                <w:color w:val="000000"/>
                <w:sz w:val="24"/>
                <w:szCs w:val="24"/>
                <w:lang w:eastAsia="zh-CN"/>
              </w:rPr>
            </w:pPr>
            <w:r>
              <w:rPr>
                <w:rFonts w:hint="eastAsia" w:ascii="Calibri" w:hAnsi="Calibri" w:cs="Calibri"/>
                <w:color w:val="000000"/>
                <w:sz w:val="24"/>
                <w:szCs w:val="24"/>
                <w:lang w:eastAsia="zh-CN"/>
              </w:rPr>
              <w:t>（a） 国家林草局：28</w:t>
            </w:r>
          </w:p>
          <w:p>
            <w:pPr>
              <w:rPr>
                <w:rFonts w:ascii="Calibri" w:hAnsi="Calibri" w:cs="Calibri"/>
                <w:color w:val="000000"/>
                <w:sz w:val="24"/>
                <w:szCs w:val="24"/>
                <w:lang w:eastAsia="zh-CN"/>
              </w:rPr>
            </w:pPr>
            <w:r>
              <w:rPr>
                <w:rFonts w:hint="eastAsia" w:ascii="Calibri" w:hAnsi="Calibri" w:cs="Calibri"/>
                <w:color w:val="000000"/>
                <w:sz w:val="24"/>
                <w:szCs w:val="24"/>
                <w:lang w:eastAsia="zh-CN"/>
              </w:rPr>
              <w:t>（b） 甘肃：17</w:t>
            </w:r>
          </w:p>
          <w:p>
            <w:pPr>
              <w:rPr>
                <w:rFonts w:ascii="Calibri" w:hAnsi="Calibri" w:cs="Calibri"/>
                <w:color w:val="000000"/>
                <w:sz w:val="24"/>
                <w:szCs w:val="24"/>
                <w:lang w:eastAsia="zh-CN"/>
              </w:rPr>
            </w:pPr>
            <w:r>
              <w:rPr>
                <w:rFonts w:hint="eastAsia" w:ascii="Calibri" w:hAnsi="Calibri" w:cs="Calibri"/>
                <w:color w:val="000000"/>
                <w:sz w:val="24"/>
                <w:szCs w:val="24"/>
                <w:lang w:eastAsia="zh-CN"/>
              </w:rPr>
              <w:t>（c） 重庆：19</w:t>
            </w:r>
          </w:p>
          <w:p>
            <w:pPr>
              <w:rPr>
                <w:rFonts w:ascii="Calibri" w:hAnsi="Calibri" w:cs="Calibri"/>
                <w:color w:val="000000"/>
                <w:sz w:val="24"/>
                <w:szCs w:val="24"/>
                <w:lang w:eastAsia="zh-CN"/>
              </w:rPr>
            </w:pPr>
            <w:r>
              <w:rPr>
                <w:rFonts w:hint="eastAsia" w:ascii="Calibri" w:hAnsi="Calibri" w:cs="Calibri"/>
                <w:color w:val="000000"/>
                <w:sz w:val="24"/>
                <w:szCs w:val="24"/>
                <w:lang w:eastAsia="zh-CN"/>
              </w:rPr>
              <w:t>（d） 云南：20</w:t>
            </w:r>
          </w:p>
          <w:p>
            <w:pPr>
              <w:rPr>
                <w:rFonts w:ascii="Calibri" w:hAnsi="Calibri" w:cs="Calibri"/>
                <w:color w:val="000000"/>
                <w:sz w:val="24"/>
                <w:szCs w:val="24"/>
                <w:lang w:eastAsia="zh-CN"/>
              </w:rPr>
            </w:pPr>
            <w:r>
              <w:rPr>
                <w:rFonts w:hint="eastAsia" w:ascii="Calibri" w:hAnsi="Calibri" w:cs="Calibri"/>
                <w:color w:val="000000"/>
                <w:sz w:val="24"/>
                <w:szCs w:val="24"/>
                <w:lang w:eastAsia="zh-CN"/>
              </w:rPr>
              <w:t>（e） 贵州：27</w:t>
            </w:r>
          </w:p>
          <w:p>
            <w:pPr>
              <w:rPr>
                <w:rFonts w:ascii="Calibri" w:hAnsi="Calibri" w:cs="Calibri"/>
                <w:color w:val="000000"/>
                <w:sz w:val="24"/>
                <w:szCs w:val="24"/>
                <w:lang w:eastAsia="zh-CN"/>
              </w:rPr>
            </w:pPr>
            <w:r>
              <w:rPr>
                <w:rFonts w:hint="eastAsia" w:ascii="Calibri" w:hAnsi="Calibri" w:cs="Calibri"/>
                <w:color w:val="000000"/>
                <w:sz w:val="24"/>
                <w:szCs w:val="24"/>
                <w:lang w:eastAsia="zh-CN"/>
              </w:rPr>
              <w:t>（f） 福建：20</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Institutional capacity development plan, deliver capacity building to national and sub-national institutional stakeholders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机构能力发展计划，向国家和地方各利益相关方提供能力建设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8" w:hRule="atLeast"/>
        </w:trPr>
        <w:tc>
          <w:tcPr>
            <w:tcW w:w="677" w:type="pct"/>
          </w:tcPr>
          <w:p>
            <w:pPr>
              <w:rPr>
                <w:rFonts w:ascii="Calibri" w:hAnsi="Calibri" w:cs="Calibri"/>
                <w:b/>
                <w:bCs/>
                <w:color w:val="000000"/>
                <w:sz w:val="24"/>
                <w:szCs w:val="24"/>
                <w:lang w:eastAsia="zh-CN"/>
              </w:rPr>
            </w:pPr>
            <w:r>
              <w:rPr>
                <w:rFonts w:ascii="Calibri" w:hAnsi="Calibri" w:cs="Calibri"/>
                <w:b/>
                <w:bCs/>
                <w:color w:val="000000"/>
                <w:sz w:val="24"/>
                <w:szCs w:val="24"/>
                <w:lang w:eastAsia="zh-CN"/>
              </w:rPr>
              <w:t>Outcome 2: Innovative, participatory FLR interventions demonstrated and upscaled in NFUL, facilitated by multi-level and multi-stakeholder landscape governance mechanisms</w:t>
            </w:r>
          </w:p>
          <w:p>
            <w:pPr>
              <w:rPr>
                <w:rFonts w:ascii="Calibri" w:hAnsi="Calibri" w:cs="Calibri"/>
                <w:b/>
                <w:bCs/>
                <w:color w:val="000000"/>
                <w:sz w:val="24"/>
                <w:szCs w:val="24"/>
                <w:lang w:eastAsia="zh-CN"/>
              </w:rPr>
            </w:pPr>
            <w:r>
              <w:rPr>
                <w:rFonts w:hint="eastAsia" w:ascii="Calibri" w:hAnsi="Calibri" w:cs="Calibri"/>
                <w:b/>
                <w:bCs/>
                <w:color w:val="000000"/>
                <w:sz w:val="24"/>
                <w:szCs w:val="24"/>
                <w:lang w:eastAsia="zh-CN"/>
              </w:rPr>
              <w:t>成果2：在多层级、多利益相关方的景观治理机制的推动下，在天然林用地区域示范及扩大创新的参与式森林景观恢复方法。</w:t>
            </w:r>
          </w:p>
          <w:p>
            <w:pPr>
              <w:rPr>
                <w:rFonts w:ascii="Calibri" w:hAnsi="Calibri" w:cs="Calibri"/>
                <w:b/>
                <w:bCs/>
                <w:color w:val="000000"/>
                <w:sz w:val="24"/>
                <w:szCs w:val="24"/>
                <w:lang w:eastAsia="zh-CN"/>
              </w:rPr>
            </w:pP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　</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6: Local participation in FLR improved, as measured by the number of sustainable livelihood models operationalized through strengthened or new associations (e.g., cooperatives, women’s groups, enterprises, etc.) in the project landscapes, gender disaggregated.</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指标6：改善当地对森林覆盖率的参与。以项目地区通过加强或新建协会（如合作社、妇女团体、企业等）实施的可持续生计模式的数量来衡量，按性别分类</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Limited or no existing sustainable livelihood model operational in the project landscapes</w:t>
            </w:r>
          </w:p>
          <w:p>
            <w:pPr>
              <w:rPr>
                <w:rFonts w:ascii="Calibri" w:hAnsi="Calibri" w:cs="Calibri"/>
                <w:color w:val="000000"/>
                <w:sz w:val="24"/>
                <w:szCs w:val="24"/>
                <w:lang w:eastAsia="zh-CN"/>
              </w:rPr>
            </w:pPr>
            <w:r>
              <w:rPr>
                <w:rFonts w:hint="eastAsia" w:ascii="Calibri" w:hAnsi="Calibri" w:cs="Calibri"/>
                <w:bCs/>
                <w:color w:val="000000"/>
                <w:sz w:val="24"/>
                <w:szCs w:val="24"/>
                <w:lang w:eastAsia="zh-CN"/>
              </w:rPr>
              <w:t>项目地现有的可持续生计模式有限或根本不存在</w:t>
            </w:r>
          </w:p>
          <w:p>
            <w:pPr>
              <w:rPr>
                <w:rFonts w:ascii="Calibri" w:hAnsi="Calibri" w:cs="Calibri"/>
                <w:color w:val="000000"/>
                <w:sz w:val="24"/>
                <w:szCs w:val="24"/>
                <w:lang w:eastAsia="zh-CN"/>
              </w:rPr>
            </w:pP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2.1: FLR demonstration management plans developed and endorsed by multi-level, multi-stakeholder landscape governance mechanisms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产出2.1：由多层级、多利益相关方的景观治理机制开发和认可的森林景观恢复示范管理计划。</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The project's PSC, NPMO, PPMO and LPMO has been set up. Multi-stakeholder, multi-level mechanisms has been established and operationalized.</w:t>
            </w:r>
          </w:p>
          <w:p>
            <w:pPr>
              <w:rPr>
                <w:rFonts w:ascii="Calibri" w:hAnsi="Calibri" w:cs="Calibri"/>
                <w:color w:val="000000"/>
                <w:sz w:val="24"/>
                <w:szCs w:val="24"/>
                <w:lang w:eastAsia="zh-CN"/>
              </w:rPr>
            </w:pPr>
            <w:r>
              <w:rPr>
                <w:rFonts w:hint="eastAsia" w:ascii="Calibri" w:hAnsi="Calibri" w:cs="Calibri"/>
                <w:color w:val="000000"/>
                <w:sz w:val="24"/>
                <w:szCs w:val="24"/>
                <w:lang w:eastAsia="zh-CN"/>
              </w:rPr>
              <w:t>项目已经建立指导委员会，国家级、省级和景观区的项目办。多层级多方利益相关方机制已经建立并投入运作。</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No</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无</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On-going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Multi-stakeholder, multi-level mechanisms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多层级多利益相关方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2.2. Sustainable livelihoods for local beneficiaries demonstrated and enhanced through capacity building and partnership building, with particular emphasis on gender mainstreaming</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产出2.2：通过能力建设和伙伴关系建设（强调性别主流化），示范和加强当地受益者的可持续生计。</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PPMO and LPMO have been preparing to identify livelihood opportunities.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省级和地方级项目办正在准备</w:t>
            </w:r>
            <w:r>
              <w:rPr>
                <w:rFonts w:hint="eastAsia" w:ascii="Calibri" w:hAnsi="Calibri" w:cs="Calibri"/>
                <w:color w:val="000000"/>
                <w:sz w:val="24"/>
                <w:szCs w:val="24"/>
                <w:lang w:val="en-US" w:eastAsia="zh-CN"/>
              </w:rPr>
              <w:t>去</w:t>
            </w:r>
            <w:r>
              <w:rPr>
                <w:rFonts w:hint="eastAsia" w:ascii="Calibri" w:hAnsi="Calibri" w:cs="Calibri"/>
                <w:color w:val="000000"/>
                <w:sz w:val="24"/>
                <w:szCs w:val="24"/>
                <w:lang w:eastAsia="zh-CN"/>
              </w:rPr>
              <w:t>确定生计的机会</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No</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无</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On-going</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进行中</w:t>
            </w:r>
            <w:r>
              <w:rPr>
                <w:rFonts w:ascii="Calibri" w:hAnsi="Calibri" w:cs="Calibri"/>
                <w:color w:val="000000"/>
                <w:sz w:val="24"/>
                <w:szCs w:val="24"/>
                <w:lang w:eastAsia="zh-CN"/>
              </w:rPr>
              <w:t xml:space="preserve"> </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Identify livelihood opportunities based on FLR demonstration plans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根据森林景观</w:t>
            </w:r>
            <w:r>
              <w:rPr>
                <w:rFonts w:hint="eastAsia" w:ascii="Calibri" w:hAnsi="Calibri" w:cs="Calibri"/>
                <w:color w:val="000000"/>
                <w:sz w:val="24"/>
                <w:szCs w:val="24"/>
                <w:lang w:val="en-US" w:eastAsia="zh-CN"/>
              </w:rPr>
              <w:t>恢</w:t>
            </w:r>
            <w:r>
              <w:rPr>
                <w:rFonts w:hint="eastAsia" w:ascii="Calibri" w:hAnsi="Calibri" w:cs="Calibri"/>
                <w:color w:val="000000"/>
                <w:sz w:val="24"/>
                <w:szCs w:val="24"/>
                <w:lang w:eastAsia="zh-CN"/>
              </w:rPr>
              <w:t>复的</w:t>
            </w:r>
            <w:r>
              <w:rPr>
                <w:rFonts w:hint="eastAsia" w:ascii="Calibri" w:hAnsi="Calibri" w:cs="Calibri"/>
                <w:color w:val="000000"/>
                <w:sz w:val="24"/>
                <w:szCs w:val="24"/>
                <w:lang w:val="en-US" w:eastAsia="zh-CN"/>
              </w:rPr>
              <w:t>示范</w:t>
            </w:r>
            <w:r>
              <w:rPr>
                <w:rFonts w:hint="eastAsia" w:ascii="Calibri" w:hAnsi="Calibri" w:cs="Calibri"/>
                <w:color w:val="000000"/>
                <w:sz w:val="24"/>
                <w:szCs w:val="24"/>
                <w:lang w:eastAsia="zh-CN"/>
              </w:rPr>
              <w:t>计划确定生计的机会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2.3. FLR demonstration and management plans implemented in the five project landscapes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产出2.3：在五个项目景观区实施森林景观恢复的示范和管理计划</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PPMO and LPMO have prepared to execute since the second year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项目办将从明年开始准备</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7: Sustainable long-term flows of ecosystem services from NFUL enhanced, as measured by innovative participatory FLR approaches demonstrated on the project mainstreamed into the annual operating work plans of the five (5) provincial/municipal forestry bureaus.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指标7：天然林地生态系统服务的可持续长期流动得到加强。具体衡量标准是将项目中展示的创新参与式森林景观恢复方法纳入五省/市林</w:t>
            </w:r>
            <w:r>
              <w:rPr>
                <w:rFonts w:hint="eastAsia" w:ascii="Calibri" w:hAnsi="Calibri" w:cs="Calibri"/>
                <w:color w:val="000000"/>
                <w:sz w:val="24"/>
                <w:szCs w:val="24"/>
                <w:lang w:val="en-US" w:eastAsia="zh-CN"/>
              </w:rPr>
              <w:t>草主管部门</w:t>
            </w:r>
            <w:r>
              <w:rPr>
                <w:rFonts w:hint="eastAsia" w:ascii="Calibri" w:hAnsi="Calibri" w:cs="Calibri"/>
                <w:color w:val="000000"/>
                <w:sz w:val="24"/>
                <w:szCs w:val="24"/>
                <w:lang w:eastAsia="zh-CN"/>
              </w:rPr>
              <w:t>年度业务工作计划</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provincial/municipal</w:t>
            </w:r>
            <w:r>
              <w:rPr>
                <w:rFonts w:hint="eastAsia" w:ascii="Calibri" w:hAnsi="Calibri" w:cs="Calibri"/>
                <w:color w:val="000000"/>
                <w:sz w:val="24"/>
                <w:szCs w:val="24"/>
                <w:lang w:val="en-US" w:eastAsia="zh-CN"/>
              </w:rPr>
              <w:t xml:space="preserve"> </w:t>
            </w:r>
            <w:r>
              <w:rPr>
                <w:rFonts w:ascii="Calibri" w:hAnsi="Calibri" w:cs="Calibri"/>
                <w:color w:val="000000"/>
                <w:sz w:val="24"/>
                <w:szCs w:val="24"/>
                <w:lang w:eastAsia="zh-CN"/>
              </w:rPr>
              <w:t>Participatory FLR approaches not budgeted by orestry bureaus.</w:t>
            </w:r>
          </w:p>
          <w:p>
            <w:pPr>
              <w:rPr>
                <w:rFonts w:ascii="Calibri" w:hAnsi="Calibri" w:cs="Calibri"/>
                <w:color w:val="000000"/>
                <w:sz w:val="24"/>
                <w:szCs w:val="24"/>
                <w:lang w:eastAsia="zh-CN"/>
              </w:rPr>
            </w:pPr>
            <w:r>
              <w:rPr>
                <w:rFonts w:ascii="Calibri" w:hAnsi="Calibri" w:cs="Calibri"/>
                <w:color w:val="000000"/>
                <w:sz w:val="24"/>
                <w:szCs w:val="24"/>
                <w:lang w:eastAsia="zh-CN"/>
              </w:rPr>
              <w:t xml:space="preserve"> </w:t>
            </w:r>
            <w:r>
              <w:rPr>
                <w:rFonts w:hint="eastAsia" w:ascii="Calibri" w:hAnsi="Calibri" w:cs="Calibri"/>
                <w:color w:val="000000"/>
                <w:sz w:val="24"/>
                <w:szCs w:val="24"/>
                <w:lang w:eastAsia="zh-CN"/>
              </w:rPr>
              <w:t>参与式森林景观恢复方法未编入</w:t>
            </w:r>
          </w:p>
          <w:p>
            <w:pPr>
              <w:rPr>
                <w:rFonts w:ascii="Calibri" w:hAnsi="Calibri" w:cs="Calibri"/>
                <w:color w:val="000000"/>
                <w:sz w:val="24"/>
                <w:szCs w:val="24"/>
                <w:lang w:eastAsia="zh-CN"/>
              </w:rPr>
            </w:pPr>
            <w:r>
              <w:rPr>
                <w:rFonts w:hint="eastAsia" w:ascii="Calibri" w:hAnsi="Calibri" w:cs="Calibri"/>
                <w:color w:val="000000"/>
                <w:sz w:val="24"/>
                <w:szCs w:val="24"/>
                <w:lang w:eastAsia="zh-CN"/>
              </w:rPr>
              <w:t>省/市林业</w:t>
            </w:r>
            <w:r>
              <w:rPr>
                <w:rFonts w:hint="eastAsia" w:ascii="Calibri" w:hAnsi="Calibri" w:cs="Calibri"/>
                <w:color w:val="000000"/>
                <w:sz w:val="24"/>
                <w:szCs w:val="24"/>
                <w:lang w:val="en-US" w:eastAsia="zh-CN"/>
              </w:rPr>
              <w:t>主管部门</w:t>
            </w:r>
            <w:r>
              <w:rPr>
                <w:rFonts w:hint="eastAsia" w:ascii="Calibri" w:hAnsi="Calibri" w:cs="Calibri"/>
                <w:color w:val="000000"/>
                <w:sz w:val="24"/>
                <w:szCs w:val="24"/>
                <w:lang w:eastAsia="zh-CN"/>
              </w:rPr>
              <w:t>预算</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Preparation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准备中</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6"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2.4. Best practices of FLR innovative, participatory approaches upscaled in other NFUL areas based on results and lessons of demonstrations in project landscapes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产出2.4：总结项目创新的、参与式的森林景观恢复的成果和经验，形成最佳实践，推广到其他天然林用地区域。</w:t>
            </w:r>
          </w:p>
        </w:tc>
        <w:tc>
          <w:tcPr>
            <w:tcW w:w="1447" w:type="pct"/>
          </w:tcPr>
          <w:p>
            <w:pPr>
              <w:rPr>
                <w:rFonts w:ascii="Calibri" w:hAnsi="Calibri" w:cs="Calibri"/>
                <w:color w:val="000000"/>
                <w:sz w:val="24"/>
                <w:szCs w:val="24"/>
                <w:lang w:eastAsia="zh-CN"/>
              </w:rPr>
            </w:pPr>
          </w:p>
        </w:tc>
        <w:tc>
          <w:tcPr>
            <w:tcW w:w="794" w:type="pct"/>
          </w:tcPr>
          <w:p>
            <w:pPr>
              <w:rPr>
                <w:rFonts w:ascii="Times New Roman" w:hAnsi="Times New Roman" w:eastAsia="Times New Roman" w:cs="Times New Roman"/>
                <w:sz w:val="20"/>
                <w:szCs w:val="20"/>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No</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无</w:t>
            </w:r>
          </w:p>
        </w:tc>
        <w:tc>
          <w:tcPr>
            <w:tcW w:w="551"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N</w:t>
            </w:r>
            <w:r>
              <w:rPr>
                <w:rFonts w:ascii="Calibri" w:hAnsi="Calibri" w:cs="Calibri"/>
                <w:color w:val="000000"/>
                <w:sz w:val="24"/>
                <w:szCs w:val="24"/>
                <w:lang w:eastAsia="zh-CN"/>
              </w:rPr>
              <w:t>/A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677" w:type="pct"/>
          </w:tcPr>
          <w:p>
            <w:pPr>
              <w:rPr>
                <w:rFonts w:ascii="Calibri" w:hAnsi="Calibri" w:cs="Calibri"/>
                <w:b/>
                <w:bCs/>
                <w:sz w:val="24"/>
                <w:szCs w:val="24"/>
                <w:lang w:eastAsia="zh-CN"/>
              </w:rPr>
            </w:pPr>
            <w:r>
              <w:rPr>
                <w:rFonts w:ascii="Calibri" w:hAnsi="Calibri" w:cs="Calibri"/>
                <w:b/>
                <w:bCs/>
                <w:sz w:val="24"/>
                <w:szCs w:val="24"/>
                <w:lang w:eastAsia="zh-CN"/>
              </w:rPr>
              <w:t>Outcome 3: Incentive systems improved and expanded for durable investment in sustainable management of NFUL</w:t>
            </w:r>
          </w:p>
          <w:p>
            <w:pPr>
              <w:rPr>
                <w:rFonts w:ascii="Calibri" w:hAnsi="Calibri" w:cs="Calibri"/>
                <w:sz w:val="24"/>
                <w:szCs w:val="24"/>
                <w:lang w:eastAsia="zh-CN"/>
              </w:rPr>
            </w:pPr>
            <w:r>
              <w:rPr>
                <w:rFonts w:hint="eastAsia" w:ascii="Calibri" w:hAnsi="Calibri" w:cs="Calibri"/>
                <w:sz w:val="24"/>
                <w:szCs w:val="24"/>
                <w:lang w:eastAsia="zh-CN"/>
              </w:rPr>
              <w:t>成果3：改善和扩展天然林用地可持续管理的持久投资激励机制</w:t>
            </w:r>
          </w:p>
          <w:p>
            <w:pPr>
              <w:rPr>
                <w:rFonts w:ascii="Calibri" w:hAnsi="Calibri" w:cs="Calibri"/>
                <w:b/>
                <w:bCs/>
                <w:sz w:val="24"/>
                <w:szCs w:val="24"/>
                <w:lang w:eastAsia="zh-CN"/>
              </w:rPr>
            </w:pPr>
          </w:p>
        </w:tc>
        <w:tc>
          <w:tcPr>
            <w:tcW w:w="1447" w:type="pct"/>
          </w:tcPr>
          <w:p>
            <w:pPr>
              <w:rPr>
                <w:rFonts w:ascii="Calibri" w:hAnsi="Calibri" w:cs="Calibri"/>
                <w:color w:val="767171"/>
                <w:sz w:val="24"/>
                <w:szCs w:val="24"/>
                <w:lang w:eastAsia="zh-CN"/>
              </w:rPr>
            </w:pPr>
            <w:r>
              <w:rPr>
                <w:rFonts w:ascii="Calibri" w:hAnsi="Calibri" w:cs="Calibri"/>
                <w:color w:val="767171"/>
                <w:sz w:val="24"/>
                <w:szCs w:val="24"/>
                <w:lang w:eastAsia="zh-CN"/>
              </w:rPr>
              <w:t>　</w:t>
            </w:r>
          </w:p>
        </w:tc>
        <w:tc>
          <w:tcPr>
            <w:tcW w:w="794" w:type="pct"/>
            <w:noWrap/>
          </w:tcPr>
          <w:p>
            <w:pPr>
              <w:rPr>
                <w:rFonts w:ascii="Calibri" w:hAnsi="Calibri" w:cs="Calibri"/>
                <w:sz w:val="24"/>
                <w:szCs w:val="24"/>
                <w:lang w:eastAsia="zh-CN"/>
              </w:rPr>
            </w:pPr>
            <w:r>
              <w:rPr>
                <w:rFonts w:ascii="Calibri" w:hAnsi="Calibri" w:cs="Calibri"/>
                <w:sz w:val="24"/>
                <w:szCs w:val="24"/>
                <w:lang w:eastAsia="zh-CN"/>
              </w:rPr>
              <w:t>　</w:t>
            </w:r>
          </w:p>
        </w:tc>
        <w:tc>
          <w:tcPr>
            <w:tcW w:w="794" w:type="pct"/>
          </w:tcPr>
          <w:p>
            <w:pPr>
              <w:rPr>
                <w:rFonts w:ascii="Calibri" w:hAnsi="Calibri" w:cs="Calibri"/>
                <w:color w:val="000000"/>
                <w:sz w:val="24"/>
                <w:szCs w:val="24"/>
                <w:lang w:eastAsia="zh-CN"/>
              </w:rPr>
            </w:pP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2"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3.1: Improved ecological compensation mechanisms formulated using targeted scenario analysis approaches and advocated for adoption in the project landscapes and in other NFUL in China.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产出3.1：利用目标情景分析法制定改善的生态补偿机制，并在项目景观区和中国其他天然林用地区域倡导推广应用。</w:t>
            </w:r>
          </w:p>
        </w:tc>
        <w:tc>
          <w:tcPr>
            <w:tcW w:w="1447"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8: NFUL conservation integrated into ecological compensation mechanisms, as measured by the number of existing or new ecological compensation mechanisms that integrate the value and services of NFUL and equitably target women beneficiaries.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 8：将天然林用地保护纳入生态补偿机制，以充分体现天然林用地服务价值和女性权益的现有的或者新增加的生态补偿机制的数量作为衡量标准。</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NFUL values and services are not integrated into existing ecological compensation mechanisms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天然林用地的价值和服务未纳入现有的生态补偿机制</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N/A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2"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3.2: Expanded types and sources of financing for sustainable management of NFUL through public-private-community partnerships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产出3.2：通过公私社区伙伴关系扩大天然林用地可持续管理的融资类型和来源。</w:t>
            </w:r>
          </w:p>
        </w:tc>
        <w:tc>
          <w:tcPr>
            <w:tcW w:w="1447" w:type="pct"/>
          </w:tcPr>
          <w:p>
            <w:pPr>
              <w:rPr>
                <w:rFonts w:ascii="宋体" w:hAnsi="宋体" w:cs="Calibri"/>
                <w:color w:val="000000"/>
                <w:sz w:val="24"/>
                <w:szCs w:val="24"/>
                <w:lang w:eastAsia="zh-CN"/>
              </w:rPr>
            </w:pPr>
            <w:r>
              <w:rPr>
                <w:rFonts w:ascii="Calibri" w:hAnsi="Calibri" w:cs="Calibri"/>
                <w:color w:val="000000"/>
                <w:sz w:val="24"/>
                <w:szCs w:val="24"/>
                <w:lang w:eastAsia="zh-CN"/>
              </w:rPr>
              <w:t xml:space="preserve">Guizhou Qiming Agricultural Technology Development Co. Ltd.  had built ecological planting base of nearly 1333 ha for Chinese traditional medicine material Dendrobium Officinale, and created employment opportunity for local community. </w:t>
            </w:r>
            <w:r>
              <w:rPr>
                <w:rFonts w:hint="eastAsia" w:ascii="宋体" w:hAnsi="宋体" w:cs="Calibri"/>
                <w:color w:val="000000"/>
                <w:sz w:val="24"/>
                <w:szCs w:val="24"/>
                <w:lang w:eastAsia="zh-CN"/>
              </w:rPr>
              <w:t xml:space="preserve">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贵州启明农业科技发展有限公司已建成中药材石斛生态种植基地近1333公顷，为当地社区创造了就业机会。</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9: Stakeholder participation in FLR approaches expanded, as measured by the number of business enterprises in the project landscapes entering new public-private-community partnerships, each incorporating fair inclusion of women stipulations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 9：扩大利益相关方对森林景观恢复方法的参与。项目景观中加入新的公私-社区伙伴关系的私营企业数量，每种伙伴关系都包含公平纳入妇女的规定</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Limited application of FLR approaches by the stakeholders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利益相关方对森林景观恢复方法的应用有限</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Guizhou Qiming Agricultural Technology Development Co. Ltd. prepared to develop public-private-community partnership.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贵州启明农业科技发展有限公司拟发展公私合作伙伴关系。</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N/A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4" w:hRule="atLeast"/>
        </w:trPr>
        <w:tc>
          <w:tcPr>
            <w:tcW w:w="677" w:type="pct"/>
          </w:tcPr>
          <w:p>
            <w:pPr>
              <w:rPr>
                <w:rFonts w:ascii="Calibri" w:hAnsi="Calibri" w:cs="Calibri"/>
                <w:b/>
                <w:bCs/>
                <w:sz w:val="24"/>
                <w:szCs w:val="24"/>
                <w:lang w:eastAsia="zh-CN"/>
              </w:rPr>
            </w:pPr>
            <w:r>
              <w:rPr>
                <w:rFonts w:ascii="Calibri" w:hAnsi="Calibri" w:cs="Calibri"/>
                <w:b/>
                <w:bCs/>
                <w:sz w:val="24"/>
                <w:szCs w:val="24"/>
                <w:lang w:eastAsia="zh-CN"/>
              </w:rPr>
              <w:t>Outcome 4: Integrated coordination, knowledge management, and monitoring and evaluation to enhance capacities for upscaling</w:t>
            </w:r>
          </w:p>
          <w:p>
            <w:pPr>
              <w:rPr>
                <w:rFonts w:ascii="Calibri" w:hAnsi="Calibri" w:cs="Calibri"/>
                <w:b/>
                <w:bCs/>
                <w:sz w:val="24"/>
                <w:szCs w:val="24"/>
                <w:lang w:eastAsia="zh-CN"/>
              </w:rPr>
            </w:pPr>
            <w:r>
              <w:rPr>
                <w:rFonts w:hint="eastAsia" w:ascii="Calibri" w:hAnsi="Calibri" w:cs="Calibri"/>
                <w:b/>
                <w:bCs/>
                <w:sz w:val="24"/>
                <w:szCs w:val="24"/>
                <w:lang w:eastAsia="zh-CN"/>
              </w:rPr>
              <w:t>成果4：综合协调、知识管理、监测与评估，以增强复制扩大的能力</w:t>
            </w:r>
          </w:p>
          <w:p>
            <w:pPr>
              <w:rPr>
                <w:rFonts w:ascii="Calibri" w:hAnsi="Calibri" w:cs="Calibri"/>
                <w:b/>
                <w:bCs/>
                <w:sz w:val="24"/>
                <w:szCs w:val="24"/>
                <w:lang w:eastAsia="zh-CN"/>
              </w:rPr>
            </w:pP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KAP baseline survey will be designed and conducted for 5 landscapes. More than 750 answers will be collected (50:50 gender balance). And the end-of-project KAP survey w</w:t>
            </w:r>
            <w:r>
              <w:rPr>
                <w:rFonts w:hint="eastAsia" w:ascii="Calibri" w:hAnsi="Calibri" w:cs="Calibri"/>
                <w:color w:val="000000"/>
                <w:sz w:val="24"/>
                <w:szCs w:val="24"/>
                <w:lang w:eastAsia="zh-CN"/>
              </w:rPr>
              <w:t>ill</w:t>
            </w:r>
            <w:r>
              <w:rPr>
                <w:rFonts w:ascii="Calibri" w:hAnsi="Calibri" w:cs="Calibri"/>
                <w:color w:val="000000"/>
                <w:sz w:val="24"/>
                <w:szCs w:val="24"/>
                <w:lang w:eastAsia="zh-CN"/>
              </w:rPr>
              <w:t xml:space="preserve"> be  designed.</w:t>
            </w:r>
          </w:p>
          <w:p>
            <w:pPr>
              <w:rPr>
                <w:rFonts w:ascii="Calibri" w:hAnsi="Calibri" w:cs="Calibri"/>
                <w:color w:val="767171"/>
                <w:sz w:val="24"/>
                <w:szCs w:val="24"/>
                <w:lang w:eastAsia="zh-CN"/>
              </w:rPr>
            </w:pPr>
            <w:r>
              <w:rPr>
                <w:rFonts w:hint="eastAsia" w:ascii="Calibri" w:hAnsi="Calibri" w:cs="Calibri"/>
                <w:color w:val="000000"/>
                <w:sz w:val="24"/>
                <w:szCs w:val="24"/>
                <w:lang w:eastAsia="zh-CN"/>
              </w:rPr>
              <w:t>将在5个项目景观区开展KAP基线调查，</w:t>
            </w:r>
            <w:r>
              <w:rPr>
                <w:rFonts w:hint="eastAsia" w:ascii="Calibri" w:hAnsi="Calibri" w:cs="Calibri"/>
                <w:color w:val="000000"/>
                <w:sz w:val="24"/>
                <w:szCs w:val="24"/>
                <w:lang w:val="en-US" w:eastAsia="zh-CN"/>
              </w:rPr>
              <w:t>计划</w:t>
            </w:r>
            <w:r>
              <w:rPr>
                <w:rFonts w:hint="eastAsia" w:ascii="Calibri" w:hAnsi="Calibri" w:cs="Calibri"/>
                <w:color w:val="000000"/>
                <w:sz w:val="24"/>
                <w:szCs w:val="24"/>
                <w:lang w:eastAsia="zh-CN"/>
              </w:rPr>
              <w:t>收集750多个答案（男女比例</w:t>
            </w:r>
            <w:r>
              <w:rPr>
                <w:rFonts w:hint="eastAsia" w:ascii="Calibri" w:hAnsi="Calibri" w:cs="Calibri"/>
                <w:color w:val="000000"/>
                <w:sz w:val="24"/>
                <w:szCs w:val="24"/>
                <w:lang w:val="en-US" w:eastAsia="zh-CN"/>
              </w:rPr>
              <w:t>大致平等</w:t>
            </w:r>
            <w:r>
              <w:rPr>
                <w:rFonts w:hint="eastAsia" w:ascii="Calibri" w:hAnsi="Calibri" w:cs="Calibri"/>
                <w:color w:val="000000"/>
                <w:sz w:val="24"/>
                <w:szCs w:val="24"/>
                <w:lang w:eastAsia="zh-CN"/>
              </w:rPr>
              <w:t>），</w:t>
            </w:r>
            <w:r>
              <w:rPr>
                <w:rFonts w:hint="eastAsia" w:ascii="Calibri" w:hAnsi="Calibri" w:cs="Calibri"/>
                <w:color w:val="000000"/>
                <w:sz w:val="24"/>
                <w:szCs w:val="24"/>
                <w:lang w:val="en-US" w:eastAsia="zh-CN"/>
              </w:rPr>
              <w:t>确定</w:t>
            </w:r>
            <w:r>
              <w:rPr>
                <w:rFonts w:hint="eastAsia" w:ascii="Calibri" w:hAnsi="Calibri" w:cs="Calibri"/>
                <w:color w:val="000000"/>
                <w:sz w:val="24"/>
                <w:szCs w:val="24"/>
                <w:lang w:eastAsia="zh-CN"/>
              </w:rPr>
              <w:t>KAP</w:t>
            </w:r>
            <w:r>
              <w:rPr>
                <w:rFonts w:hint="eastAsia" w:ascii="Calibri" w:hAnsi="Calibri" w:cs="Calibri"/>
                <w:color w:val="000000"/>
                <w:sz w:val="24"/>
                <w:szCs w:val="24"/>
                <w:lang w:val="en-US" w:eastAsia="zh-CN"/>
              </w:rPr>
              <w:t>的项目终期</w:t>
            </w:r>
            <w:r>
              <w:rPr>
                <w:rFonts w:hint="eastAsia" w:ascii="Calibri" w:hAnsi="Calibri" w:cs="Calibri"/>
                <w:color w:val="000000"/>
                <w:sz w:val="24"/>
                <w:szCs w:val="24"/>
                <w:lang w:eastAsia="zh-CN"/>
              </w:rPr>
              <w:t>调查的。</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10: Key stakeholder groups’ understanding of the value of NFUL conservation improved, as measured by results of knowledge, attitude and practices (KAP) surveys (disaggregated by women, ethnic minorities, and youth), among the following stakeholder groups:</w:t>
            </w:r>
            <w:r>
              <w:rPr>
                <w:rFonts w:ascii="Calibri" w:hAnsi="Calibri" w:cs="Calibri"/>
                <w:color w:val="000000"/>
                <w:sz w:val="24"/>
                <w:szCs w:val="24"/>
                <w:lang w:eastAsia="zh-CN"/>
              </w:rPr>
              <w:br w:type="textWrapping"/>
            </w:r>
            <w:r>
              <w:rPr>
                <w:rFonts w:ascii="Calibri" w:hAnsi="Calibri" w:cs="Calibri"/>
                <w:color w:val="000000"/>
                <w:sz w:val="24"/>
                <w:szCs w:val="24"/>
                <w:lang w:eastAsia="zh-CN"/>
              </w:rPr>
              <w:t>(a) Subnational governmental stakeholders</w:t>
            </w:r>
            <w:r>
              <w:rPr>
                <w:rFonts w:ascii="Calibri" w:hAnsi="Calibri" w:cs="Calibri"/>
                <w:color w:val="000000"/>
                <w:sz w:val="24"/>
                <w:szCs w:val="24"/>
                <w:lang w:eastAsia="zh-CN"/>
              </w:rPr>
              <w:br w:type="textWrapping"/>
            </w:r>
            <w:r>
              <w:rPr>
                <w:rFonts w:ascii="Calibri" w:hAnsi="Calibri" w:cs="Calibri"/>
                <w:color w:val="000000"/>
                <w:sz w:val="24"/>
                <w:szCs w:val="24"/>
                <w:lang w:eastAsia="zh-CN"/>
              </w:rPr>
              <w:t>(b) Local communities</w:t>
            </w:r>
            <w:r>
              <w:rPr>
                <w:rFonts w:ascii="Calibri" w:hAnsi="Calibri" w:cs="Calibri"/>
                <w:color w:val="000000"/>
                <w:sz w:val="24"/>
                <w:szCs w:val="24"/>
                <w:lang w:eastAsia="zh-CN"/>
              </w:rPr>
              <w:br w:type="textWrapping"/>
            </w:r>
            <w:r>
              <w:rPr>
                <w:rFonts w:ascii="Calibri" w:hAnsi="Calibri" w:cs="Calibri"/>
                <w:color w:val="000000"/>
                <w:sz w:val="24"/>
                <w:szCs w:val="24"/>
                <w:lang w:eastAsia="zh-CN"/>
              </w:rPr>
              <w:t>(c) Private sector.</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 10：根据知识、态度和做法（知识、态度和实践）调查结果（按妇女、少数民族和青年分类），在以下利益攸关方群体中提高主要利益攸关方群体对天然林使用和土地保护价值的认识：</w:t>
            </w:r>
          </w:p>
          <w:p>
            <w:pPr>
              <w:rPr>
                <w:rFonts w:ascii="Calibri" w:hAnsi="Calibri" w:cs="Calibri"/>
                <w:color w:val="000000"/>
                <w:sz w:val="24"/>
                <w:szCs w:val="24"/>
                <w:lang w:eastAsia="zh-CN"/>
              </w:rPr>
            </w:pPr>
            <w:r>
              <w:rPr>
                <w:rFonts w:hint="eastAsia" w:ascii="Calibri" w:hAnsi="Calibri" w:cs="Calibri"/>
                <w:color w:val="000000"/>
                <w:sz w:val="24"/>
                <w:szCs w:val="24"/>
                <w:lang w:eastAsia="zh-CN"/>
              </w:rPr>
              <w:t>（a） 国家以下各级政府利益相关方</w:t>
            </w:r>
          </w:p>
          <w:p>
            <w:pPr>
              <w:rPr>
                <w:rFonts w:ascii="Calibri" w:hAnsi="Calibri" w:cs="Calibri"/>
                <w:color w:val="000000"/>
                <w:sz w:val="24"/>
                <w:szCs w:val="24"/>
                <w:lang w:eastAsia="zh-CN"/>
              </w:rPr>
            </w:pPr>
            <w:r>
              <w:rPr>
                <w:rFonts w:hint="eastAsia" w:ascii="Calibri" w:hAnsi="Calibri" w:cs="Calibri"/>
                <w:color w:val="000000"/>
                <w:sz w:val="24"/>
                <w:szCs w:val="24"/>
                <w:lang w:eastAsia="zh-CN"/>
              </w:rPr>
              <w:t>（b） 地方社区</w:t>
            </w:r>
          </w:p>
          <w:p>
            <w:pPr>
              <w:rPr>
                <w:rFonts w:ascii="Calibri" w:hAnsi="Calibri" w:cs="Calibri"/>
                <w:color w:val="000000"/>
                <w:sz w:val="24"/>
                <w:szCs w:val="24"/>
                <w:lang w:eastAsia="zh-CN"/>
              </w:rPr>
            </w:pPr>
            <w:r>
              <w:rPr>
                <w:rFonts w:hint="eastAsia" w:ascii="Calibri" w:hAnsi="Calibri" w:cs="Calibri"/>
                <w:color w:val="000000"/>
                <w:sz w:val="24"/>
                <w:szCs w:val="24"/>
                <w:lang w:eastAsia="zh-CN"/>
              </w:rPr>
              <w:t>（c） 私营部门</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Baseline to be established in the first year.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基线将在第一年确定</w:t>
            </w:r>
          </w:p>
        </w:tc>
        <w:tc>
          <w:tcPr>
            <w:tcW w:w="551" w:type="pct"/>
          </w:tcPr>
          <w:p>
            <w:pPr>
              <w:pStyle w:val="37"/>
              <w:numPr>
                <w:ilvl w:val="0"/>
                <w:numId w:val="2"/>
              </w:numPr>
              <w:rPr>
                <w:rFonts w:ascii="Calibri" w:hAnsi="Calibri" w:cs="Calibri"/>
                <w:color w:val="000000"/>
                <w:sz w:val="24"/>
                <w:szCs w:val="24"/>
                <w:lang w:eastAsia="zh-CN"/>
              </w:rPr>
            </w:pPr>
            <w:r>
              <w:rPr>
                <w:rFonts w:ascii="Calibri" w:hAnsi="Calibri" w:cs="Calibri"/>
                <w:color w:val="000000"/>
                <w:sz w:val="24"/>
                <w:szCs w:val="24"/>
                <w:lang w:eastAsia="zh-CN"/>
              </w:rPr>
              <w:t>KAP surveys will be conducted, covering stakeholders among NFGA, and five landscapes.</w:t>
            </w:r>
            <w:r>
              <w:rPr>
                <w:rFonts w:ascii="Calibri" w:hAnsi="Calibri" w:cs="Calibri"/>
                <w:color w:val="000000"/>
                <w:sz w:val="24"/>
                <w:szCs w:val="24"/>
                <w:lang w:eastAsia="zh-CN"/>
              </w:rPr>
              <w:br w:type="textWrapping"/>
            </w:r>
            <w:r>
              <w:rPr>
                <w:rFonts w:ascii="Calibri" w:hAnsi="Calibri" w:cs="Calibri"/>
                <w:color w:val="000000"/>
                <w:sz w:val="24"/>
                <w:szCs w:val="24"/>
                <w:lang w:eastAsia="zh-CN"/>
              </w:rPr>
              <w:t>2) KAP surveys report will be  prepared and the KAP baseline was established.</w:t>
            </w:r>
          </w:p>
          <w:p>
            <w:pPr>
              <w:rPr>
                <w:rFonts w:ascii="Calibri" w:hAnsi="Calibri" w:cs="Calibri"/>
                <w:color w:val="000000"/>
                <w:sz w:val="24"/>
                <w:szCs w:val="24"/>
                <w:lang w:eastAsia="zh-CN"/>
              </w:rPr>
            </w:pPr>
            <w:r>
              <w:rPr>
                <w:rFonts w:hint="eastAsia" w:ascii="Calibri" w:hAnsi="Calibri" w:cs="Calibri"/>
                <w:color w:val="000000"/>
                <w:sz w:val="24"/>
                <w:szCs w:val="24"/>
                <w:lang w:eastAsia="zh-CN"/>
              </w:rPr>
              <w:t>1） KAP调查将涵盖NFGA和五个景观区的各利益相关方。</w:t>
            </w:r>
          </w:p>
          <w:p>
            <w:pPr>
              <w:rPr>
                <w:rFonts w:ascii="Calibri" w:hAnsi="Calibri" w:cs="Calibri"/>
                <w:color w:val="000000"/>
                <w:sz w:val="24"/>
                <w:szCs w:val="24"/>
                <w:lang w:eastAsia="zh-CN"/>
              </w:rPr>
            </w:pPr>
          </w:p>
          <w:p>
            <w:pPr>
              <w:rPr>
                <w:rFonts w:ascii="Calibri" w:hAnsi="Calibri" w:cs="Calibri"/>
                <w:color w:val="000000"/>
                <w:sz w:val="24"/>
                <w:szCs w:val="24"/>
                <w:lang w:eastAsia="zh-CN"/>
              </w:rPr>
            </w:pPr>
            <w:r>
              <w:rPr>
                <w:rFonts w:hint="eastAsia" w:ascii="Calibri" w:hAnsi="Calibri" w:cs="Calibri"/>
                <w:color w:val="000000"/>
                <w:sz w:val="24"/>
                <w:szCs w:val="24"/>
                <w:lang w:eastAsia="zh-CN"/>
              </w:rPr>
              <w:t>2） 将编制KAP调查报告，并确定KAP基线。</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Establish the baseline</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基线建立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4.1: Project implementation overseen by a representative PSC, and durability of project results guided through development of a project sustainability plan.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产出4.1：通过项目指导委员会的管控确保项目实施，通过项目可持续计划的实施确保项目成果持久性。</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Project board was set up, and 1</w:t>
            </w:r>
            <w:r>
              <w:rPr>
                <w:rFonts w:ascii="Calibri" w:hAnsi="Calibri" w:cs="Calibri"/>
                <w:color w:val="000000"/>
                <w:sz w:val="24"/>
                <w:szCs w:val="24"/>
                <w:vertAlign w:val="superscript"/>
                <w:lang w:eastAsia="zh-CN"/>
              </w:rPr>
              <w:t xml:space="preserve">st </w:t>
            </w:r>
            <w:r>
              <w:rPr>
                <w:rFonts w:ascii="Calibri" w:hAnsi="Calibri" w:cs="Calibri"/>
                <w:color w:val="000000"/>
                <w:sz w:val="24"/>
                <w:szCs w:val="24"/>
                <w:lang w:eastAsia="zh-CN"/>
              </w:rPr>
              <w:t xml:space="preserve">PSC meeting was convened on 25 Sep, 2023. The PSC has approved in principle both the Project Inception Report and the TYWP (2023-2024), and agreed the adaptive adjustments according to the actual needs of the implementation.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成立了项目指导委员会，并于2023年9月25日召开了项目指导委员会第一次会议。指导委员会原则上批准了项目启动报告和双年度工作计划（2023-2024）》，并同意根据实施的需要进行适应性调整。</w:t>
            </w:r>
          </w:p>
        </w:tc>
        <w:tc>
          <w:tcPr>
            <w:tcW w:w="794" w:type="pct"/>
          </w:tcPr>
          <w:p>
            <w:pPr>
              <w:rPr>
                <w:rFonts w:ascii="Calibri" w:hAnsi="Calibri" w:cs="Calibri"/>
                <w:color w:val="000000"/>
                <w:sz w:val="24"/>
                <w:szCs w:val="24"/>
                <w:lang w:eastAsia="zh-CN"/>
              </w:rPr>
            </w:pP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No</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无</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PSC was set up, and PSC approved the TYWP and inception report at the 1</w:t>
            </w:r>
            <w:r>
              <w:rPr>
                <w:rFonts w:ascii="Calibri" w:hAnsi="Calibri" w:cs="Calibri"/>
                <w:color w:val="000000"/>
                <w:sz w:val="24"/>
                <w:szCs w:val="24"/>
                <w:vertAlign w:val="superscript"/>
                <w:lang w:eastAsia="zh-CN"/>
              </w:rPr>
              <w:t>st</w:t>
            </w:r>
            <w:r>
              <w:rPr>
                <w:rFonts w:ascii="Calibri" w:hAnsi="Calibri" w:cs="Calibri"/>
                <w:color w:val="000000"/>
                <w:sz w:val="24"/>
                <w:szCs w:val="24"/>
                <w:lang w:eastAsia="zh-CN"/>
              </w:rPr>
              <w:t xml:space="preserve"> PSC meeting.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指导委员会成立，指导委员会在第一次会议上批准了启动报告和双年度工作计划。</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Set up PSC, arrange 1</w:t>
            </w:r>
            <w:r>
              <w:rPr>
                <w:rFonts w:ascii="Calibri" w:hAnsi="Calibri" w:cs="Calibri"/>
                <w:color w:val="000000"/>
                <w:sz w:val="24"/>
                <w:szCs w:val="24"/>
                <w:vertAlign w:val="superscript"/>
                <w:lang w:eastAsia="zh-CN"/>
              </w:rPr>
              <w:t>st</w:t>
            </w:r>
            <w:r>
              <w:rPr>
                <w:rFonts w:ascii="Calibri" w:hAnsi="Calibri" w:cs="Calibri"/>
                <w:color w:val="000000"/>
                <w:sz w:val="24"/>
                <w:szCs w:val="24"/>
                <w:lang w:eastAsia="zh-CN"/>
              </w:rPr>
              <w:t xml:space="preserve"> PSC meeting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建立项目指导委员会， 组织第一次会议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4.2: Knowledge management and communication systems implemented for supporting scaling up of best practices.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产出4.2：实施知识管理和传播系统，推广最佳实践。</w:t>
            </w:r>
          </w:p>
        </w:tc>
        <w:tc>
          <w:tcPr>
            <w:tcW w:w="1447" w:type="pct"/>
          </w:tcPr>
          <w:p>
            <w:pPr>
              <w:rPr>
                <w:rFonts w:ascii="Calibri" w:hAnsi="Calibri" w:cs="Calibri"/>
                <w:color w:val="000000"/>
                <w:sz w:val="24"/>
                <w:szCs w:val="24"/>
                <w:lang w:eastAsia="zh-CN"/>
              </w:rPr>
            </w:pPr>
            <w:r>
              <w:rPr>
                <w:rFonts w:ascii="Calibri" w:hAnsi="Calibri" w:cs="Calibri"/>
                <w:color w:val="000000"/>
                <w:sz w:val="24"/>
                <w:szCs w:val="24"/>
                <w:lang w:eastAsia="zh-CN"/>
              </w:rPr>
              <w:t>Subcontractor service of knowledge management was purchased to develop the knowledge management strategy and action plan.</w:t>
            </w:r>
            <w:r>
              <w:rPr>
                <w:rFonts w:ascii="Calibri" w:hAnsi="Calibri" w:cs="Calibri"/>
                <w:color w:val="000000"/>
                <w:sz w:val="24"/>
                <w:szCs w:val="24"/>
                <w:lang w:eastAsia="zh-CN"/>
              </w:rPr>
              <w:br w:type="textWrapping"/>
            </w:r>
            <w:r>
              <w:rPr>
                <w:rFonts w:ascii="Calibri" w:hAnsi="Calibri" w:cs="Calibri"/>
                <w:color w:val="000000"/>
                <w:sz w:val="24"/>
                <w:szCs w:val="24"/>
                <w:lang w:eastAsia="zh-CN"/>
              </w:rPr>
              <w:br w:type="textWrapping"/>
            </w:r>
            <w:r>
              <w:rPr>
                <w:rFonts w:hint="eastAsia" w:ascii="Calibri" w:hAnsi="Calibri" w:cs="Calibri"/>
                <w:color w:val="000000"/>
                <w:sz w:val="24"/>
                <w:szCs w:val="24"/>
                <w:lang w:eastAsia="zh-CN"/>
              </w:rPr>
              <w:t>知识管理</w:t>
            </w:r>
            <w:r>
              <w:rPr>
                <w:rFonts w:hint="eastAsia" w:ascii="Calibri" w:hAnsi="Calibri" w:cs="Calibri"/>
                <w:color w:val="000000"/>
                <w:sz w:val="24"/>
                <w:szCs w:val="24"/>
                <w:lang w:val="en-US" w:eastAsia="zh-CN"/>
              </w:rPr>
              <w:t>的</w:t>
            </w:r>
            <w:r>
              <w:rPr>
                <w:rFonts w:hint="eastAsia" w:ascii="Calibri" w:hAnsi="Calibri" w:cs="Calibri"/>
                <w:color w:val="000000"/>
                <w:sz w:val="24"/>
                <w:szCs w:val="24"/>
                <w:lang w:eastAsia="zh-CN"/>
              </w:rPr>
              <w:t>分包商服务，以制定知识管理战略和行动计划。</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Indicator 11: Knowledge sharing effectiveness improved, as measured by (a) the cumulative number of visits/downloads of knowledge products on Internet and social media platforms, and (b) the number of people reached through dissemination of knowledge products, participation in workshops, etc. (gender disaggregated)</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指标 11：提高知识共享的有效性。衡量标准为：（a）互联网和社交媒体平台上知识产品的累计访问量/下载量，以及（b）通过传播知识产品、参加讲习班等方式接触的人数（按性别分类）</w:t>
            </w:r>
          </w:p>
        </w:tc>
        <w:tc>
          <w:tcPr>
            <w:tcW w:w="794" w:type="pct"/>
          </w:tcPr>
          <w:p>
            <w:pPr>
              <w:rPr>
                <w:rFonts w:ascii="Calibri" w:hAnsi="Calibri" w:cs="Calibri"/>
                <w:color w:val="000000"/>
                <w:sz w:val="24"/>
                <w:szCs w:val="24"/>
                <w:lang w:eastAsia="zh-CN"/>
              </w:rPr>
            </w:pPr>
            <w:r>
              <w:rPr>
                <w:rFonts w:ascii="Calibri" w:hAnsi="Calibri" w:cs="Calibri"/>
                <w:color w:val="000000"/>
                <w:sz w:val="24"/>
                <w:szCs w:val="24"/>
                <w:lang w:eastAsia="zh-CN"/>
              </w:rPr>
              <w:t>No knowledge sharing online platform, limited concerted effort exists in promoting knowledge management and dissemination of FLR best practices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没有知识共享在线平台，在促进知识管理和传播森林景观恢复最佳做法方面的力量有限</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 xml:space="preserve">Sub-contractor began to prepare Knowledge Management strategy and action plan, based on the KAP survey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分包商开始根据KAP调查结果制定知识管理战略和行动计划</w:t>
            </w:r>
          </w:p>
        </w:tc>
        <w:tc>
          <w:tcPr>
            <w:tcW w:w="738" w:type="pct"/>
          </w:tcPr>
          <w:p>
            <w:pPr>
              <w:rPr>
                <w:rFonts w:ascii="Calibri" w:hAnsi="Calibri" w:cs="Calibri"/>
                <w:color w:val="000000"/>
                <w:sz w:val="24"/>
                <w:szCs w:val="24"/>
                <w:lang w:eastAsia="zh-CN"/>
              </w:rPr>
            </w:pPr>
            <w:r>
              <w:rPr>
                <w:rFonts w:ascii="Calibri" w:hAnsi="Calibri" w:cs="Calibri"/>
                <w:color w:val="000000"/>
                <w:sz w:val="24"/>
                <w:szCs w:val="24"/>
                <w:lang w:eastAsia="zh-CN"/>
              </w:rPr>
              <w:t>Sub-contract service of Knowledge Management</w:t>
            </w:r>
          </w:p>
          <w:p>
            <w:pPr>
              <w:rPr>
                <w:rFonts w:ascii="Calibri" w:hAnsi="Calibri" w:cs="Calibri"/>
                <w:color w:val="000000"/>
                <w:sz w:val="24"/>
                <w:szCs w:val="24"/>
                <w:lang w:eastAsia="zh-CN"/>
              </w:rPr>
            </w:pPr>
            <w:r>
              <w:rPr>
                <w:rFonts w:hint="eastAsia" w:ascii="Calibri" w:hAnsi="Calibri" w:cs="Calibri"/>
                <w:color w:val="000000"/>
                <w:sz w:val="24"/>
                <w:szCs w:val="24"/>
                <w:lang w:eastAsia="zh-CN"/>
              </w:rPr>
              <w:t>知识管理分包服务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77" w:type="pct"/>
          </w:tcPr>
          <w:p>
            <w:pPr>
              <w:rPr>
                <w:rFonts w:ascii="Calibri" w:hAnsi="Calibri" w:cs="Calibri"/>
                <w:color w:val="000000"/>
                <w:sz w:val="24"/>
                <w:szCs w:val="24"/>
                <w:lang w:eastAsia="zh-CN"/>
              </w:rPr>
            </w:pPr>
            <w:r>
              <w:rPr>
                <w:rFonts w:ascii="Calibri" w:hAnsi="Calibri" w:cs="Calibri"/>
                <w:color w:val="000000"/>
                <w:sz w:val="24"/>
                <w:szCs w:val="24"/>
                <w:lang w:eastAsia="zh-CN"/>
              </w:rPr>
              <w:t>Output 4.3: Inclusive participation and adaptive management supported through participatory monitoring and evaluation of the gender action plan, SESP, stakeholder engagement plan, and other safeguard management frameworks and plans.</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产出4.3：通过参与式监测评估项目成果包括实施性别平等行动计划、社会与环境筛查程序、利益相关方参与计划和其他保障管理框架及计划等，支持包容性参与和适应性管理。</w:t>
            </w:r>
          </w:p>
        </w:tc>
        <w:tc>
          <w:tcPr>
            <w:tcW w:w="1447" w:type="pct"/>
          </w:tcPr>
          <w:p>
            <w:pPr>
              <w:rPr>
                <w:rFonts w:ascii="宋体" w:hAnsi="宋体" w:cs="Calibri"/>
                <w:color w:val="000000"/>
                <w:sz w:val="24"/>
                <w:szCs w:val="24"/>
                <w:lang w:eastAsia="zh-CN"/>
              </w:rPr>
            </w:pPr>
            <w:r>
              <w:rPr>
                <w:rFonts w:ascii="Calibri" w:hAnsi="Calibri" w:cs="Calibri"/>
                <w:color w:val="000000"/>
                <w:sz w:val="24"/>
                <w:szCs w:val="24"/>
                <w:lang w:eastAsia="zh-CN"/>
              </w:rPr>
              <w:t>The Gender and Safeguards Consultant has been recruited. And the project safeguard plan was prepared, and the assessment was conducted in the 5 landscapes.</w:t>
            </w:r>
            <w:r>
              <w:rPr>
                <w:rFonts w:hint="eastAsia" w:ascii="宋体" w:hAnsi="宋体" w:cs="Calibri"/>
                <w:color w:val="000000"/>
                <w:sz w:val="24"/>
                <w:szCs w:val="24"/>
                <w:lang w:eastAsia="zh-CN"/>
              </w:rPr>
              <w:t>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招聘了性别</w:t>
            </w:r>
            <w:r>
              <w:rPr>
                <w:rFonts w:hint="eastAsia" w:ascii="Calibri" w:hAnsi="Calibri" w:cs="Calibri"/>
                <w:color w:val="000000"/>
                <w:sz w:val="24"/>
                <w:szCs w:val="24"/>
                <w:lang w:val="en-US" w:eastAsia="zh-CN"/>
              </w:rPr>
              <w:t>与</w:t>
            </w:r>
            <w:r>
              <w:rPr>
                <w:rFonts w:hint="eastAsia" w:ascii="Calibri" w:hAnsi="Calibri" w:cs="Calibri"/>
                <w:color w:val="000000"/>
                <w:sz w:val="24"/>
                <w:szCs w:val="24"/>
                <w:lang w:eastAsia="zh-CN"/>
              </w:rPr>
              <w:t>保障</w:t>
            </w:r>
            <w:r>
              <w:rPr>
                <w:rFonts w:hint="eastAsia" w:ascii="Calibri" w:hAnsi="Calibri" w:cs="Calibri"/>
                <w:color w:val="000000"/>
                <w:sz w:val="24"/>
                <w:szCs w:val="24"/>
                <w:lang w:val="en-US" w:eastAsia="zh-CN"/>
              </w:rPr>
              <w:t>专家，</w:t>
            </w:r>
            <w:r>
              <w:rPr>
                <w:rFonts w:hint="eastAsia" w:ascii="Calibri" w:hAnsi="Calibri" w:cs="Calibri"/>
                <w:color w:val="000000"/>
                <w:sz w:val="24"/>
                <w:szCs w:val="24"/>
                <w:lang w:eastAsia="zh-CN"/>
              </w:rPr>
              <w:t>编制项目保障方案，对5个项目景观区开展评估调研。</w:t>
            </w:r>
          </w:p>
        </w:tc>
        <w:tc>
          <w:tcPr>
            <w:tcW w:w="794"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A</w:t>
            </w:r>
            <w:r>
              <w:rPr>
                <w:rFonts w:ascii="Calibri" w:hAnsi="Calibri" w:cs="Calibri"/>
                <w:color w:val="000000"/>
                <w:sz w:val="24"/>
                <w:szCs w:val="24"/>
                <w:lang w:eastAsia="zh-CN"/>
              </w:rPr>
              <w:t xml:space="preserve">ccording to UNDP-GEF related policy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根据UNDP</w:t>
            </w:r>
            <w:r>
              <w:rPr>
                <w:rFonts w:ascii="Calibri" w:hAnsi="Calibri" w:cs="Calibri"/>
                <w:color w:val="000000"/>
                <w:sz w:val="24"/>
                <w:szCs w:val="24"/>
                <w:lang w:eastAsia="zh-CN"/>
              </w:rPr>
              <w:t>-</w:t>
            </w:r>
            <w:r>
              <w:rPr>
                <w:rFonts w:hint="eastAsia" w:ascii="Calibri" w:hAnsi="Calibri" w:cs="Calibri"/>
                <w:color w:val="000000"/>
                <w:sz w:val="24"/>
                <w:szCs w:val="24"/>
                <w:lang w:eastAsia="zh-CN"/>
              </w:rPr>
              <w:t>GEF的相关政策</w:t>
            </w:r>
          </w:p>
        </w:tc>
        <w:tc>
          <w:tcPr>
            <w:tcW w:w="794"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D</w:t>
            </w:r>
            <w:r>
              <w:rPr>
                <w:rFonts w:ascii="Calibri" w:hAnsi="Calibri" w:cs="Calibri"/>
                <w:color w:val="000000"/>
                <w:sz w:val="24"/>
                <w:szCs w:val="24"/>
                <w:lang w:eastAsia="zh-CN"/>
              </w:rPr>
              <w:t xml:space="preserve">uring the PPG, the SESP, and stakeholder engagement plan were prepared. </w:t>
            </w:r>
          </w:p>
          <w:p>
            <w:pPr>
              <w:rPr>
                <w:rFonts w:ascii="Calibri" w:hAnsi="Calibri" w:cs="Calibri"/>
                <w:color w:val="000000"/>
                <w:sz w:val="24"/>
                <w:szCs w:val="24"/>
                <w:lang w:eastAsia="zh-CN"/>
              </w:rPr>
            </w:pPr>
            <w:r>
              <w:rPr>
                <w:rFonts w:hint="eastAsia" w:ascii="Calibri" w:hAnsi="Calibri" w:cs="Calibri"/>
                <w:color w:val="000000"/>
                <w:sz w:val="24"/>
                <w:szCs w:val="24"/>
                <w:lang w:eastAsia="zh-CN"/>
              </w:rPr>
              <w:t>PPG期间，编制了SESP和利益相关</w:t>
            </w:r>
            <w:r>
              <w:rPr>
                <w:rFonts w:hint="eastAsia" w:ascii="Calibri" w:hAnsi="Calibri" w:cs="Calibri"/>
                <w:color w:val="000000"/>
                <w:sz w:val="24"/>
                <w:szCs w:val="24"/>
                <w:lang w:val="en-US" w:eastAsia="zh-CN"/>
              </w:rPr>
              <w:t>方</w:t>
            </w:r>
            <w:r>
              <w:rPr>
                <w:rFonts w:hint="eastAsia" w:ascii="Calibri" w:hAnsi="Calibri" w:cs="Calibri"/>
                <w:color w:val="000000"/>
                <w:sz w:val="24"/>
                <w:szCs w:val="24"/>
                <w:lang w:eastAsia="zh-CN"/>
              </w:rPr>
              <w:t>参与计划。</w:t>
            </w:r>
          </w:p>
        </w:tc>
        <w:tc>
          <w:tcPr>
            <w:tcW w:w="551" w:type="pct"/>
          </w:tcPr>
          <w:p>
            <w:pPr>
              <w:rPr>
                <w:rFonts w:ascii="Calibri" w:hAnsi="Calibri" w:cs="Calibri"/>
                <w:color w:val="000000"/>
                <w:sz w:val="24"/>
                <w:szCs w:val="24"/>
                <w:lang w:eastAsia="zh-CN"/>
              </w:rPr>
            </w:pPr>
            <w:r>
              <w:rPr>
                <w:rFonts w:ascii="Calibri" w:hAnsi="Calibri" w:cs="Calibri"/>
                <w:color w:val="000000"/>
                <w:sz w:val="24"/>
                <w:szCs w:val="24"/>
                <w:lang w:eastAsia="zh-CN"/>
              </w:rPr>
              <w:t>Preparation</w:t>
            </w:r>
          </w:p>
          <w:p>
            <w:pPr>
              <w:rPr>
                <w:rFonts w:ascii="Calibri" w:hAnsi="Calibri" w:cs="Calibri"/>
                <w:color w:val="000000"/>
                <w:sz w:val="24"/>
                <w:szCs w:val="24"/>
                <w:lang w:eastAsia="zh-CN"/>
              </w:rPr>
            </w:pPr>
            <w:r>
              <w:rPr>
                <w:rFonts w:hint="eastAsia" w:ascii="Calibri" w:hAnsi="Calibri" w:cs="Calibri"/>
                <w:color w:val="000000"/>
                <w:sz w:val="24"/>
                <w:szCs w:val="24"/>
                <w:lang w:eastAsia="zh-CN"/>
              </w:rPr>
              <w:t>准备中</w:t>
            </w:r>
          </w:p>
        </w:tc>
        <w:tc>
          <w:tcPr>
            <w:tcW w:w="738" w:type="pct"/>
          </w:tcPr>
          <w:p>
            <w:pPr>
              <w:rPr>
                <w:rFonts w:ascii="Calibri" w:hAnsi="Calibri" w:cs="Calibri"/>
                <w:color w:val="000000"/>
                <w:sz w:val="24"/>
                <w:szCs w:val="24"/>
                <w:lang w:eastAsia="zh-CN"/>
              </w:rPr>
            </w:pPr>
            <w:r>
              <w:rPr>
                <w:rFonts w:hint="eastAsia" w:ascii="Calibri" w:hAnsi="Calibri" w:cs="Calibri"/>
                <w:color w:val="000000"/>
                <w:sz w:val="24"/>
                <w:szCs w:val="24"/>
                <w:lang w:eastAsia="zh-CN"/>
              </w:rPr>
              <w:t>N</w:t>
            </w:r>
            <w:r>
              <w:rPr>
                <w:rFonts w:ascii="Calibri" w:hAnsi="Calibri" w:cs="Calibri"/>
                <w:color w:val="000000"/>
                <w:sz w:val="24"/>
                <w:szCs w:val="24"/>
                <w:lang w:eastAsia="zh-CN"/>
              </w:rPr>
              <w:t>/A</w:t>
            </w:r>
          </w:p>
          <w:p>
            <w:pPr>
              <w:rPr>
                <w:rFonts w:ascii="Calibri" w:hAnsi="Calibri" w:cs="Calibri"/>
                <w:color w:val="000000"/>
                <w:sz w:val="24"/>
                <w:szCs w:val="24"/>
                <w:lang w:eastAsia="zh-CN"/>
              </w:rPr>
            </w:pPr>
            <w:r>
              <w:rPr>
                <w:rFonts w:hint="eastAsia" w:ascii="Calibri" w:hAnsi="Calibri" w:cs="Calibri"/>
                <w:color w:val="000000"/>
                <w:sz w:val="24"/>
                <w:szCs w:val="24"/>
                <w:lang w:eastAsia="zh-CN"/>
              </w:rPr>
              <w:t>不适用</w:t>
            </w:r>
          </w:p>
        </w:tc>
      </w:tr>
    </w:tbl>
    <w:p/>
    <w:p>
      <w:pPr>
        <w:pStyle w:val="3"/>
      </w:pPr>
      <w:r>
        <w:t>B.2 Project Impact</w:t>
      </w:r>
      <w:r>
        <w:rPr>
          <w:rFonts w:hint="eastAsia"/>
          <w:lang w:eastAsia="zh-CN"/>
        </w:rPr>
        <w:t>项目影响</w:t>
      </w:r>
    </w:p>
    <w:p/>
    <w:p>
      <w:pPr>
        <w:pStyle w:val="20"/>
      </w:pPr>
      <w:r>
        <w:rPr>
          <w:b/>
        </w:rPr>
        <w:t xml:space="preserve">Guidance: </w:t>
      </w:r>
      <w:r>
        <w:t>It is crucial to maintain a broader perspective that connects the dots between overall project activities, outputs, outcomes, and impact. In Section B.2, please go beyond discussing immediate activities and focus on the long-term impact of the project. Use 1-2 paras (more are welcome) to discuss (a) how this project have contributed to broader societal, economic, or environmental goals, and/or (b) how the project informs policy-making process in China and/or (c) how it contributes to national and local priorities, etc.</w:t>
      </w:r>
    </w:p>
    <w:p>
      <w:pPr>
        <w:rPr>
          <w:lang w:eastAsia="zh-CN"/>
        </w:rPr>
      </w:pPr>
      <w:r>
        <w:rPr>
          <w:rFonts w:hint="eastAsia"/>
          <w:lang w:eastAsia="zh-CN"/>
        </w:rPr>
        <w:t>说明：保持更广泛的视角，将整个项目活动、产出、结果和影响联系起来，这一点至关重要。在B.2节中，请重点关注项目的长期影响。使用1-2段（欢迎更多）讨论（a）该项目如何为更广泛的社会、经济或环境目标做出贡献，和/或（b）该项目是如何为中国的决策过程提供信息的，和/或者（c）它是如何为国家和地方的优先事项做出贡献的，等等。</w:t>
      </w:r>
    </w:p>
    <w:p>
      <w:pPr>
        <w:rPr>
          <w:iCs/>
          <w:lang w:eastAsia="zh-CN"/>
        </w:rPr>
      </w:pPr>
    </w:p>
    <w:p>
      <w:pPr>
        <w:rPr>
          <w:iCs/>
        </w:rPr>
      </w:pPr>
      <w:r>
        <w:rPr>
          <w:iCs/>
        </w:rPr>
        <w:t>After the first-year implementation, the project has moved forward the tasks, in terms of strengthening</w:t>
      </w:r>
      <w:r>
        <w:rPr>
          <w:iCs/>
          <w:lang w:eastAsia="zh-CN"/>
        </w:rPr>
        <w:t xml:space="preserve"> institution, and </w:t>
      </w:r>
      <w:r>
        <w:rPr>
          <w:iCs/>
        </w:rPr>
        <w:t xml:space="preserve">innovative participatory FLR interventions. (1) The project’s institutional structure has been set up at all levels, from PCS, </w:t>
      </w:r>
      <w:r>
        <w:rPr>
          <w:rFonts w:hint="eastAsia"/>
          <w:iCs/>
        </w:rPr>
        <w:t>National PMO</w:t>
      </w:r>
      <w:r>
        <w:rPr>
          <w:iCs/>
        </w:rPr>
        <w:t xml:space="preserve"> </w:t>
      </w:r>
      <w:r>
        <w:rPr>
          <w:rFonts w:hint="eastAsia"/>
          <w:iCs/>
        </w:rPr>
        <w:t xml:space="preserve">(NPMO), </w:t>
      </w:r>
      <w:r>
        <w:rPr>
          <w:iCs/>
        </w:rPr>
        <w:t>Provincial Project Management Offices (PPMOs) to Landscapes Project Management Offices</w:t>
      </w:r>
      <w:r>
        <w:rPr>
          <w:rFonts w:hint="eastAsia"/>
          <w:iCs/>
        </w:rPr>
        <w:t xml:space="preserve"> </w:t>
      </w:r>
      <w:r>
        <w:rPr>
          <w:iCs/>
        </w:rPr>
        <w:t xml:space="preserve">(LPMOs), which strengthening the multi-level governance approach for forest landscape restoration and sustainable management.  (2) Project inception workshops were organized in the five landscapes, the TYWP was agreed by PSC, and FLR demonstration management plans have been developed and incorporated into the NFGA’s and five landscapes work for managing NFUL areas in China, and endorsed by multi-level, multi-stakeholder landscape governance platform. </w:t>
      </w:r>
    </w:p>
    <w:p>
      <w:pPr>
        <w:rPr>
          <w:iCs/>
          <w:lang w:eastAsia="zh-CN"/>
        </w:rPr>
      </w:pPr>
      <w:r>
        <w:rPr>
          <w:rFonts w:hint="eastAsia"/>
          <w:iCs/>
          <w:lang w:eastAsia="zh-CN"/>
        </w:rPr>
        <w:t>项目实施第一年，在创新的参与式森林景观恢复方面加强了机构建设。（1） 项目已在各级建立机构，从指导委员会到国家级、省级、区级以及景观区的项目办公室，加强了森林景观恢复和可持续管理的多层级治理机制。（2） 项目在五个景观区组织了项目启动研讨会，项目指导委员会批准了双年度工作计划，森林景观修复示范管理计划已经制定并纳入了国家林草局生态中心和五个景观区的工作中，并形成了多层级多利益相关方的景观治理平台。</w:t>
      </w:r>
    </w:p>
    <w:p>
      <w:pPr>
        <w:rPr>
          <w:iCs/>
        </w:rPr>
      </w:pPr>
      <w:r>
        <w:rPr>
          <w:iCs/>
        </w:rPr>
        <w:t>Through the design and deliver baseline Knowledge, Attitudes and Practices (KAP) su</w:t>
      </w:r>
      <w:r>
        <w:rPr>
          <w:rFonts w:ascii="Calibri" w:hAnsi="Calibri" w:eastAsia="Microsoft YaHei UI" w:cs="Calibri"/>
          <w:iCs/>
          <w:sz w:val="24"/>
          <w:szCs w:val="24"/>
        </w:rPr>
        <w:t xml:space="preserve">rvey </w:t>
      </w:r>
      <w:r>
        <w:rPr>
          <w:iCs/>
        </w:rPr>
        <w:t xml:space="preserve"> more than 750 answers (50:50 gender balance) were received from multi-stakeholders in NFGA and 5 landscapes, the KAP baseline of the project was defined as a reference to develop knowledge management strategy and action plan. The gender and safeguards assessments were conducted in 5 Landscape, each incorporating methodology and content consistent with the requirements of a scoped Environmental and Social Impact Assessment – ESIA, as per UNDP SES Policy – and applying FPIC where relevant, which promote the awareness of the gender mainstreaming and risks control management. </w:t>
      </w:r>
    </w:p>
    <w:p>
      <w:pPr>
        <w:rPr>
          <w:iCs/>
          <w:lang w:eastAsia="zh-CN"/>
        </w:rPr>
      </w:pPr>
      <w:r>
        <w:rPr>
          <w:rFonts w:hint="eastAsia"/>
          <w:iCs/>
          <w:lang w:eastAsia="zh-CN"/>
        </w:rPr>
        <w:t>通过知识、态度和实践（KAP）问卷调查，覆盖国家层面和5个景观区层面的多层级多利益相关方，收集约750多份答卷（男女</w:t>
      </w:r>
      <w:r>
        <w:rPr>
          <w:rFonts w:hint="eastAsia"/>
          <w:iCs/>
          <w:lang w:val="en-US" w:eastAsia="zh-CN"/>
        </w:rPr>
        <w:t>人数：大致相同</w:t>
      </w:r>
      <w:r>
        <w:rPr>
          <w:rFonts w:hint="eastAsia"/>
          <w:iCs/>
          <w:lang w:eastAsia="zh-CN"/>
        </w:rPr>
        <w:t>），将为制定知识管理战略和行动计划提供参考。在5个景观区中开展性别和社会环境保障</w:t>
      </w:r>
      <w:r>
        <w:rPr>
          <w:rFonts w:hint="eastAsia"/>
          <w:iCs/>
          <w:lang w:val="en-US" w:eastAsia="zh-CN"/>
        </w:rPr>
        <w:t>现状</w:t>
      </w:r>
      <w:r>
        <w:rPr>
          <w:rFonts w:hint="eastAsia"/>
          <w:iCs/>
          <w:lang w:eastAsia="zh-CN"/>
        </w:rPr>
        <w:t>的评估，每个评估都包含符合环境和社会影响评估要求的方法和内容，符合联合国开发计划署社会和环境的标准，并在相关情况下应用自由、事先和知情同意的原则，以提高对性别主流化和风险控制管理的认识。</w:t>
      </w:r>
    </w:p>
    <w:p>
      <w:pPr>
        <w:pStyle w:val="2"/>
      </w:pPr>
      <w:r>
        <w:t>C. RISK</w:t>
      </w:r>
      <w:r>
        <w:rPr>
          <w:rFonts w:hint="eastAsia"/>
          <w:lang w:eastAsia="zh-CN"/>
        </w:rPr>
        <w:t>风险</w:t>
      </w:r>
    </w:p>
    <w:p>
      <w:pPr>
        <w:pStyle w:val="11"/>
      </w:pPr>
    </w:p>
    <w:p>
      <w:pPr>
        <w:pStyle w:val="20"/>
      </w:pPr>
      <w:r>
        <w:rPr>
          <w:b/>
          <w:bCs/>
        </w:rPr>
        <w:t>Guidance</w:t>
      </w:r>
      <w:r>
        <w:t>.</w:t>
      </w:r>
    </w:p>
    <w:p>
      <w:pPr>
        <w:pStyle w:val="20"/>
        <w:numPr>
          <w:ilvl w:val="0"/>
          <w:numId w:val="3"/>
        </w:numPr>
      </w:pPr>
      <w:r>
        <w:t>Please populate the offline matrix with those risks as identified on the pro doc, and update the status. Please bring in or strike out a risk, if it’s recently found or addressed. Be sure to distinguish “cause”, ‘’event”, “impact”</w:t>
      </w:r>
      <w:r>
        <w:rPr>
          <w:lang w:eastAsia="zh-CN"/>
        </w:rPr>
        <w:t>. i.e. Because of [cause], [event] may occur, which would lead to [impact].</w:t>
      </w:r>
    </w:p>
    <w:p>
      <w:pPr>
        <w:pStyle w:val="20"/>
        <w:numPr>
          <w:ilvl w:val="0"/>
          <w:numId w:val="3"/>
        </w:numPr>
      </w:pPr>
      <w:r>
        <w:t xml:space="preserve">Following the finalization and submission of this report, UNDP Programme Officer shall update the risks in </w:t>
      </w:r>
      <w:r>
        <w:rPr>
          <w:b/>
        </w:rPr>
        <w:t>Quantum</w:t>
      </w:r>
      <w:r>
        <w:t>.</w:t>
      </w:r>
    </w:p>
    <w:p>
      <w:pPr>
        <w:pStyle w:val="11"/>
        <w:rPr>
          <w:lang w:eastAsia="zh-CN"/>
        </w:rPr>
      </w:pPr>
      <w:r>
        <w:rPr>
          <w:rFonts w:hint="eastAsia"/>
          <w:lang w:eastAsia="zh-CN"/>
        </w:rPr>
        <w:t>说明</w:t>
      </w:r>
    </w:p>
    <w:p>
      <w:pPr>
        <w:pStyle w:val="11"/>
        <w:rPr>
          <w:lang w:eastAsia="zh-CN"/>
        </w:rPr>
      </w:pPr>
      <w:r>
        <w:rPr>
          <w:rFonts w:hint="eastAsia"/>
          <w:lang w:eastAsia="zh-CN"/>
        </w:rPr>
        <w:t>•请在表格中填入项目文件中确定的风险，并更新状态。如果最近发现或解决了风险，请引入或删除风险。一定要区分“成因”、“活动”、“影响”。即由于[原因]，可能发生[事件]，从而导致[影响]。</w:t>
      </w:r>
    </w:p>
    <w:p>
      <w:pPr>
        <w:pStyle w:val="11"/>
        <w:rPr>
          <w:lang w:eastAsia="zh-CN"/>
        </w:rPr>
      </w:pPr>
      <w:r>
        <w:rPr>
          <w:rFonts w:hint="eastAsia"/>
          <w:lang w:eastAsia="zh-CN"/>
        </w:rPr>
        <w:t>•本报告定稿并提交后，开发计划署项目官员应更新Quantum表中的风险。</w:t>
      </w:r>
    </w:p>
    <w:p>
      <w:pPr>
        <w:pStyle w:val="11"/>
        <w:rPr>
          <w:lang w:eastAsia="zh-CN"/>
        </w:rPr>
      </w:pPr>
    </w:p>
    <w:p>
      <w:pPr>
        <w:pStyle w:val="11"/>
        <w:rPr>
          <w:lang w:eastAsia="zh-CN"/>
        </w:rPr>
      </w:pPr>
    </w:p>
    <w:p>
      <w:pPr>
        <w:pStyle w:val="11"/>
        <w:rPr>
          <w:lang w:eastAsia="zh-CN"/>
        </w:rPr>
      </w:pPr>
    </w:p>
    <w:p>
      <w:pPr>
        <w:pStyle w:val="11"/>
        <w:rPr>
          <w:lang w:eastAsia="zh-CN"/>
        </w:rPr>
      </w:pPr>
    </w:p>
    <w:p>
      <w:pPr>
        <w:pStyle w:val="11"/>
        <w:rPr>
          <w:lang w:eastAsia="zh-CN"/>
        </w:rPr>
      </w:pPr>
    </w:p>
    <w:p>
      <w:pPr>
        <w:pStyle w:val="11"/>
        <w:rPr>
          <w:lang w:eastAsia="zh-CN"/>
        </w:rPr>
      </w:pPr>
    </w:p>
    <w:tbl>
      <w:tblPr>
        <w:tblStyle w:val="13"/>
        <w:tblW w:w="5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85"/>
        <w:gridCol w:w="1731"/>
        <w:gridCol w:w="1587"/>
        <w:gridCol w:w="1870"/>
        <w:gridCol w:w="1006"/>
        <w:gridCol w:w="1297"/>
        <w:gridCol w:w="3169"/>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9"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w:t>
            </w:r>
          </w:p>
        </w:tc>
        <w:tc>
          <w:tcPr>
            <w:tcW w:w="556"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Category</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分类</w:t>
            </w:r>
          </w:p>
        </w:tc>
        <w:tc>
          <w:tcPr>
            <w:tcW w:w="607"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Cause</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成因</w:t>
            </w:r>
          </w:p>
        </w:tc>
        <w:tc>
          <w:tcPr>
            <w:tcW w:w="557"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Event</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活动</w:t>
            </w:r>
          </w:p>
        </w:tc>
        <w:tc>
          <w:tcPr>
            <w:tcW w:w="656"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Impact</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影响</w:t>
            </w:r>
          </w:p>
        </w:tc>
        <w:tc>
          <w:tcPr>
            <w:tcW w:w="353" w:type="pct"/>
            <w:shd w:val="clear" w:color="auto" w:fill="2E75B5" w:themeFill="accent5" w:themeFillShade="BF"/>
          </w:tcPr>
          <w:p>
            <w:pPr>
              <w:rPr>
                <w:b/>
                <w:color w:val="FFFFFF" w:themeColor="background1"/>
                <w:lang w:val="en-GB"/>
                <w14:textFill>
                  <w14:solidFill>
                    <w14:schemeClr w14:val="bg1"/>
                  </w14:solidFill>
                </w14:textFill>
              </w:rPr>
            </w:pPr>
            <w:r>
              <w:rPr>
                <w:rFonts w:hint="eastAsia"/>
                <w:b/>
                <w:color w:val="FFFFFF" w:themeColor="background1"/>
                <w:lang w:val="en-GB"/>
                <w14:textFill>
                  <w14:solidFill>
                    <w14:schemeClr w14:val="bg1"/>
                  </w14:solidFill>
                </w14:textFill>
              </w:rPr>
              <w:t>Risk</w:t>
            </w:r>
            <w:r>
              <w:rPr>
                <w:b/>
                <w:color w:val="FFFFFF" w:themeColor="background1"/>
                <w:lang w:val="en-GB"/>
                <w14:textFill>
                  <w14:solidFill>
                    <w14:schemeClr w14:val="bg1"/>
                  </w14:solidFill>
                </w14:textFill>
              </w:rPr>
              <w:t xml:space="preserve"> Valid</w:t>
            </w:r>
            <w:r>
              <w:rPr>
                <w:b/>
                <w:color w:val="FFFFFF" w:themeColor="background1"/>
                <w:lang w:val="en-GB"/>
                <w14:textFill>
                  <w14:solidFill>
                    <w14:schemeClr w14:val="bg1"/>
                  </w14:solidFill>
                </w14:textFill>
              </w:rPr>
              <w:br w:type="textWrapping"/>
            </w:r>
            <w:r>
              <w:rPr>
                <w:b/>
                <w:color w:val="FFFFFF" w:themeColor="background1"/>
                <w:lang w:val="en-GB"/>
                <w14:textFill>
                  <w14:solidFill>
                    <w14:schemeClr w14:val="bg1"/>
                  </w14:solidFill>
                </w14:textFill>
              </w:rPr>
              <w:t xml:space="preserve"> Period</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风险有效期</w:t>
            </w:r>
          </w:p>
        </w:tc>
        <w:tc>
          <w:tcPr>
            <w:tcW w:w="455"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Risk Level - Impact &amp;</w:t>
            </w:r>
          </w:p>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Likelihood</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风险水平</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影响和可能性</w:t>
            </w:r>
          </w:p>
        </w:tc>
        <w:tc>
          <w:tcPr>
            <w:tcW w:w="1112"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Treatment(s)</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措施</w:t>
            </w:r>
          </w:p>
        </w:tc>
        <w:tc>
          <w:tcPr>
            <w:tcW w:w="505" w:type="pct"/>
            <w:shd w:val="clear" w:color="auto" w:fill="2E75B5" w:themeFill="accent5" w:themeFillShade="BF"/>
          </w:tcPr>
          <w:p>
            <w:pPr>
              <w:rPr>
                <w:b/>
                <w:color w:val="FFFFFF" w:themeColor="background1"/>
                <w:lang w:val="en-GB"/>
                <w14:textFill>
                  <w14:solidFill>
                    <w14:schemeClr w14:val="bg1"/>
                  </w14:solidFill>
                </w14:textFill>
              </w:rPr>
            </w:pPr>
            <w:r>
              <w:rPr>
                <w:b/>
                <w:color w:val="FFFFFF" w:themeColor="background1"/>
                <w:lang w:val="en-GB"/>
                <w14:textFill>
                  <w14:solidFill>
                    <w14:schemeClr w14:val="bg1"/>
                  </w14:solidFill>
                </w14:textFill>
              </w:rPr>
              <w:t>Risk Owner</w:t>
            </w:r>
          </w:p>
          <w:p>
            <w:pPr>
              <w:rPr>
                <w:b/>
                <w:color w:val="FFFFFF" w:themeColor="background1"/>
                <w:lang w:val="en-GB"/>
                <w14:textFill>
                  <w14:solidFill>
                    <w14:schemeClr w14:val="bg1"/>
                  </w14:solidFill>
                </w14:textFill>
              </w:rPr>
            </w:pPr>
            <w:r>
              <w:rPr>
                <w:rFonts w:hint="eastAsia"/>
                <w:b/>
                <w:color w:val="FFFFFF" w:themeColor="background1"/>
                <w:lang w:val="en-GB" w:eastAsia="zh-CN"/>
                <w14:textFill>
                  <w14:solidFill>
                    <w14:schemeClr w14:val="bg1"/>
                  </w14:solidFill>
                </w14:textFill>
              </w:rPr>
              <w:t>风险责任人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p>
        </w:tc>
        <w:tc>
          <w:tcPr>
            <w:tcW w:w="556" w:type="pct"/>
            <w:tcBorders>
              <w:top w:val="single" w:color="auto" w:sz="4" w:space="0"/>
              <w:left w:val="single" w:color="auto" w:sz="4" w:space="0"/>
              <w:bottom w:val="single" w:color="auto" w:sz="4" w:space="0"/>
              <w:right w:val="single" w:color="auto" w:sz="4" w:space="0"/>
            </w:tcBorders>
          </w:tcPr>
          <w:sdt>
            <w:sdtPr>
              <w:id w:val="-1362506973"/>
              <w:placeholder>
                <w:docPart w:val="B8CEC886AD414E9F9AD5CDFE881CE8AB"/>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r>
                  <w:t>Social and Environmental</w:t>
                </w:r>
              </w:p>
            </w:sdtContent>
          </w:sdt>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The project involves the introduction of policies, regulations, management plans, and compensation measures.</w:t>
            </w:r>
          </w:p>
          <w:p>
            <w:pPr>
              <w:rPr>
                <w:lang w:eastAsia="zh-CN"/>
              </w:rPr>
            </w:pPr>
            <w:r>
              <w:rPr>
                <w:rFonts w:hint="eastAsia"/>
                <w:lang w:eastAsia="zh-CN"/>
              </w:rPr>
              <w:t>项目涉及政策、法规、管理计划和补偿措施的出台。</w:t>
            </w:r>
          </w:p>
        </w:tc>
        <w:tc>
          <w:tcPr>
            <w:tcW w:w="557" w:type="pct"/>
            <w:tcBorders>
              <w:top w:val="single" w:color="auto" w:sz="4" w:space="0"/>
              <w:left w:val="single" w:color="auto" w:sz="4" w:space="0"/>
              <w:bottom w:val="single" w:color="auto" w:sz="4" w:space="0"/>
              <w:right w:val="single" w:color="auto" w:sz="4" w:space="0"/>
            </w:tcBorders>
          </w:tcPr>
          <w:p>
            <w:r>
              <w:t>The project – through introduction of policies, statutes,</w:t>
            </w:r>
            <w:r>
              <w:rPr>
                <w:rFonts w:hint="eastAsia"/>
              </w:rPr>
              <w:t xml:space="preserve"> </w:t>
            </w:r>
            <w:r>
              <w:t>management plans and compensation measures, may</w:t>
            </w:r>
            <w:r>
              <w:rPr>
                <w:rFonts w:hint="eastAsia"/>
              </w:rPr>
              <w:t xml:space="preserve"> </w:t>
            </w:r>
            <w:r>
              <w:t>impact on the lands, natural</w:t>
            </w:r>
            <w:r>
              <w:rPr>
                <w:rFonts w:hint="eastAsia"/>
              </w:rPr>
              <w:t xml:space="preserve"> </w:t>
            </w:r>
            <w:r>
              <w:t>resources, territories, and traditional</w:t>
            </w:r>
            <w:r>
              <w:rPr>
                <w:rFonts w:hint="eastAsia"/>
              </w:rPr>
              <w:t xml:space="preserve"> </w:t>
            </w:r>
            <w:r>
              <w:t>livelihoods of ethnic minorities in</w:t>
            </w:r>
            <w:r>
              <w:rPr>
                <w:rFonts w:hint="eastAsia"/>
              </w:rPr>
              <w:t xml:space="preserve"> </w:t>
            </w:r>
            <w:r>
              <w:t>ways that lead to erosion of cultural</w:t>
            </w:r>
            <w:r>
              <w:rPr>
                <w:rFonts w:hint="eastAsia"/>
              </w:rPr>
              <w:t xml:space="preserve"> </w:t>
            </w:r>
            <w:r>
              <w:t>heritage, and infringement of human</w:t>
            </w:r>
            <w:r>
              <w:rPr>
                <w:rFonts w:hint="eastAsia"/>
              </w:rPr>
              <w:t xml:space="preserve"> </w:t>
            </w:r>
            <w:r>
              <w:t>rights.</w:t>
            </w:r>
          </w:p>
          <w:p>
            <w:pPr>
              <w:rPr>
                <w:lang w:eastAsia="zh-CN"/>
              </w:rPr>
            </w:pPr>
            <w:r>
              <w:rPr>
                <w:rFonts w:hint="eastAsia"/>
                <w:lang w:eastAsia="zh-CN"/>
              </w:rPr>
              <w:t>风险 1：通过引入政策、法规、管理计划和补偿措施，项目可能会对少数民族的土地、自然资源、领地和传统生计产生影响，导致文化遗产受到侵蚀，人权受到侵犯。</w:t>
            </w:r>
          </w:p>
        </w:tc>
        <w:tc>
          <w:tcPr>
            <w:tcW w:w="656" w:type="pct"/>
            <w:tcBorders>
              <w:top w:val="single" w:color="auto" w:sz="4" w:space="0"/>
              <w:left w:val="single" w:color="auto" w:sz="4" w:space="0"/>
              <w:bottom w:val="single" w:color="auto" w:sz="4" w:space="0"/>
              <w:right w:val="single" w:color="auto" w:sz="4" w:space="0"/>
            </w:tcBorders>
          </w:tcPr>
          <w:p>
            <w:r>
              <w:t>These new policies, regulations, management plans, and compensation measures may impact the livelihoods of ethnic minorities, potentially leading to further erosion of cultural heritage and infringement of human rights.</w:t>
            </w:r>
          </w:p>
          <w:p>
            <w:pPr>
              <w:rPr>
                <w:lang w:eastAsia="zh-CN"/>
              </w:rPr>
            </w:pPr>
            <w:r>
              <w:rPr>
                <w:rFonts w:hint="eastAsia"/>
                <w:lang w:eastAsia="zh-CN"/>
              </w:rPr>
              <w:t>这些新的政策、法规、管理计划和补偿措施可能会影响少数民族的生计，可能导致文化遗产的进一步侵蚀和人权的侵犯</w:t>
            </w:r>
          </w:p>
        </w:tc>
        <w:tc>
          <w:tcPr>
            <w:tcW w:w="353" w:type="pct"/>
            <w:tcBorders>
              <w:top w:val="single" w:color="auto" w:sz="4" w:space="0"/>
              <w:left w:val="single" w:color="auto" w:sz="4" w:space="0"/>
              <w:bottom w:val="single" w:color="auto" w:sz="4" w:space="0"/>
              <w:right w:val="single" w:color="auto" w:sz="4" w:space="0"/>
            </w:tcBorders>
          </w:tcPr>
          <w:sdt>
            <w:sdtPr>
              <w:id w:val="-254825209"/>
              <w:placeholder>
                <w:docPart w:val="9F4853B784F14DEE978BFD013FBE5BC5"/>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rPr>
                <w:rFonts w:hint="eastAsia"/>
              </w:rPr>
              <w:t>09</w:t>
            </w:r>
            <w:r>
              <w:t>/01/2023 to 31/12/2025</w:t>
            </w:r>
          </w:p>
        </w:tc>
        <w:tc>
          <w:tcPr>
            <w:tcW w:w="455" w:type="pct"/>
            <w:tcBorders>
              <w:top w:val="single" w:color="auto" w:sz="4" w:space="0"/>
              <w:left w:val="single" w:color="auto" w:sz="4" w:space="0"/>
              <w:bottom w:val="single" w:color="auto" w:sz="4" w:space="0"/>
              <w:right w:val="single" w:color="auto" w:sz="4" w:space="0"/>
            </w:tcBorders>
          </w:tcPr>
          <w:p>
            <w:r>
              <w:t>I = 3 L = 3</w:t>
            </w:r>
          </w:p>
        </w:tc>
        <w:tc>
          <w:tcPr>
            <w:tcW w:w="1112" w:type="pct"/>
            <w:tcBorders>
              <w:top w:val="single" w:color="auto" w:sz="4" w:space="0"/>
              <w:left w:val="single" w:color="auto" w:sz="4" w:space="0"/>
              <w:bottom w:val="single" w:color="auto" w:sz="4" w:space="0"/>
              <w:right w:val="single" w:color="auto" w:sz="4" w:space="0"/>
            </w:tcBorders>
          </w:tcPr>
          <w:p>
            <w:r>
              <w:t xml:space="preserve">The project is </w:t>
            </w:r>
            <w:r>
              <w:rPr>
                <w:rFonts w:hint="eastAsia"/>
              </w:rPr>
              <w:t>c</w:t>
            </w:r>
            <w:r>
              <w:t xml:space="preserve">onducting an investigation </w:t>
            </w:r>
            <w:r>
              <w:rPr>
                <w:rFonts w:hint="eastAsia"/>
              </w:rPr>
              <w:t>to</w:t>
            </w:r>
            <w:r>
              <w:t xml:space="preserve"> </w:t>
            </w:r>
            <w:r>
              <w:rPr>
                <w:rFonts w:hint="eastAsia"/>
              </w:rPr>
              <w:t xml:space="preserve">gather </w:t>
            </w:r>
            <w:r>
              <w:t xml:space="preserve">comprehensive site-level data </w:t>
            </w:r>
            <w:r>
              <w:rPr>
                <w:rFonts w:hint="eastAsia"/>
              </w:rPr>
              <w:t>in</w:t>
            </w:r>
            <w:r>
              <w:t xml:space="preserve"> </w:t>
            </w:r>
            <w:r>
              <w:rPr>
                <w:rFonts w:hint="eastAsia"/>
              </w:rPr>
              <w:t>five</w:t>
            </w:r>
            <w:r>
              <w:t xml:space="preserve"> </w:t>
            </w:r>
            <w:r>
              <w:rPr>
                <w:rFonts w:hint="eastAsia"/>
              </w:rPr>
              <w:t>project</w:t>
            </w:r>
            <w:r>
              <w:t xml:space="preserve"> </w:t>
            </w:r>
            <w:r>
              <w:rPr>
                <w:rFonts w:hint="eastAsia"/>
              </w:rPr>
              <w:t>landscapes</w:t>
            </w:r>
            <w:r>
              <w:t>, especially in Guizhou</w:t>
            </w:r>
            <w:r>
              <w:rPr>
                <w:rFonts w:hint="eastAsia"/>
              </w:rPr>
              <w:t xml:space="preserve"> </w:t>
            </w:r>
            <w:r>
              <w:t xml:space="preserve">and Yunnan </w:t>
            </w:r>
            <w:r>
              <w:rPr>
                <w:rFonts w:hint="eastAsia"/>
              </w:rPr>
              <w:t>to</w:t>
            </w:r>
            <w:r>
              <w:t xml:space="preserve"> review</w:t>
            </w:r>
            <w:r>
              <w:rPr>
                <w:rFonts w:hint="eastAsia"/>
              </w:rPr>
              <w:t xml:space="preserve"> </w:t>
            </w:r>
            <w:r>
              <w:t>this risk rating</w:t>
            </w:r>
            <w:r>
              <w:rPr>
                <w:rFonts w:hint="eastAsia"/>
              </w:rPr>
              <w:t>.</w:t>
            </w:r>
          </w:p>
          <w:p>
            <w:pPr>
              <w:ind w:left="360" w:hanging="360"/>
              <w:rPr>
                <w:lang w:eastAsia="zh-CN"/>
              </w:rPr>
            </w:pPr>
            <w:r>
              <w:rPr>
                <w:rFonts w:hint="eastAsia"/>
                <w:lang w:eastAsia="zh-CN"/>
              </w:rPr>
              <w:t>项目正在进行调查，以收集</w:t>
            </w:r>
          </w:p>
          <w:p>
            <w:pPr>
              <w:ind w:left="360" w:hanging="360"/>
              <w:rPr>
                <w:lang w:eastAsia="zh-CN"/>
              </w:rPr>
            </w:pPr>
            <w:r>
              <w:rPr>
                <w:rFonts w:hint="eastAsia"/>
                <w:lang w:eastAsia="zh-CN"/>
              </w:rPr>
              <w:t>五个项目景观区（特别是在贵</w:t>
            </w:r>
          </w:p>
          <w:p>
            <w:pPr>
              <w:ind w:left="360" w:hanging="360"/>
              <w:rPr>
                <w:lang w:eastAsia="zh-CN"/>
              </w:rPr>
            </w:pPr>
            <w:r>
              <w:rPr>
                <w:rFonts w:hint="eastAsia"/>
                <w:lang w:eastAsia="zh-CN"/>
              </w:rPr>
              <w:t>州和云南两个景观区）的综合</w:t>
            </w:r>
          </w:p>
          <w:p>
            <w:pPr>
              <w:ind w:left="360" w:hanging="360"/>
              <w:rPr>
                <w:lang w:eastAsia="zh-CN"/>
              </w:rPr>
            </w:pPr>
            <w:r>
              <w:rPr>
                <w:rFonts w:hint="eastAsia"/>
                <w:lang w:eastAsia="zh-CN"/>
              </w:rPr>
              <w:t>水平数据，</w:t>
            </w:r>
            <w:r>
              <w:rPr>
                <w:lang w:eastAsia="zh-CN"/>
              </w:rPr>
              <w:t xml:space="preserve"> </w:t>
            </w:r>
            <w:r>
              <w:rPr>
                <w:rFonts w:hint="eastAsia"/>
                <w:lang w:eastAsia="zh-CN"/>
              </w:rPr>
              <w:t>以审查风险评</w:t>
            </w:r>
          </w:p>
          <w:p>
            <w:pPr>
              <w:ind w:left="360" w:hanging="360"/>
              <w:rPr>
                <w:lang w:eastAsia="zh-CN"/>
              </w:rPr>
            </w:pPr>
            <w:r>
              <w:rPr>
                <w:rFonts w:hint="eastAsia"/>
                <w:lang w:eastAsia="zh-CN"/>
              </w:rPr>
              <w:t>级。</w:t>
            </w:r>
          </w:p>
        </w:tc>
        <w:tc>
          <w:tcPr>
            <w:tcW w:w="505" w:type="pct"/>
            <w:tcBorders>
              <w:top w:val="single" w:color="auto" w:sz="4" w:space="0"/>
              <w:left w:val="single" w:color="auto" w:sz="4" w:space="0"/>
              <w:bottom w:val="single" w:color="auto" w:sz="4" w:space="0"/>
              <w:right w:val="single" w:color="auto" w:sz="4" w:space="0"/>
            </w:tcBorders>
          </w:tcPr>
          <w:p>
            <w:r>
              <w:t>Gender-Safeguards Specialist, M&amp;E-KM Officer</w:t>
            </w:r>
          </w:p>
          <w:p>
            <w:pPr>
              <w:rPr>
                <w:lang w:eastAsia="zh-CN"/>
              </w:rPr>
            </w:pPr>
            <w:r>
              <w:rPr>
                <w:rFonts w:hint="eastAsia"/>
                <w:lang w:eastAsia="zh-CN"/>
              </w:rPr>
              <w:t>性别与社会环境保障专家、监测评估与知识管理官员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2</w:t>
            </w:r>
          </w:p>
        </w:tc>
        <w:tc>
          <w:tcPr>
            <w:tcW w:w="556" w:type="pct"/>
            <w:tcBorders>
              <w:top w:val="single" w:color="auto" w:sz="4" w:space="0"/>
              <w:left w:val="single" w:color="auto" w:sz="4" w:space="0"/>
              <w:bottom w:val="single" w:color="auto" w:sz="4" w:space="0"/>
              <w:right w:val="single" w:color="auto" w:sz="4" w:space="0"/>
            </w:tcBorders>
          </w:tcPr>
          <w:sdt>
            <w:sdtPr>
              <w:id w:val="-2028240776"/>
              <w:placeholder>
                <w:docPart w:val="72F7AD2EF0064F44B64566BD74BF82A8"/>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r>
                  <w:t>Social and Environmental</w:t>
                </w:r>
              </w:p>
            </w:sdtContent>
          </w:sdt>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Project related activities and the introduction of new management plans, policies, and regulations, may restrict local people from accessing resources, especially forest resources.</w:t>
            </w:r>
          </w:p>
          <w:p>
            <w:pPr>
              <w:rPr>
                <w:lang w:eastAsia="zh-CN"/>
              </w:rPr>
            </w:pPr>
            <w:r>
              <w:rPr>
                <w:rFonts w:hint="eastAsia"/>
                <w:lang w:eastAsia="zh-CN"/>
              </w:rPr>
              <w:t>与项目相关的活动以及新的管理计划、政策和法规的出台，可能会限制当地人获得资源，尤其是森林资源。</w:t>
            </w:r>
          </w:p>
        </w:tc>
        <w:tc>
          <w:tcPr>
            <w:tcW w:w="557" w:type="pct"/>
            <w:tcBorders>
              <w:top w:val="single" w:color="auto" w:sz="4" w:space="0"/>
              <w:left w:val="single" w:color="auto" w:sz="4" w:space="0"/>
              <w:bottom w:val="single" w:color="auto" w:sz="4" w:space="0"/>
              <w:right w:val="single" w:color="auto" w:sz="4" w:space="0"/>
            </w:tcBorders>
          </w:tcPr>
          <w:p>
            <w:r>
              <w:t>Restricted access to</w:t>
            </w:r>
            <w:r>
              <w:rPr>
                <w:rFonts w:hint="eastAsia"/>
              </w:rPr>
              <w:t xml:space="preserve"> </w:t>
            </w:r>
            <w:r>
              <w:t>resources as a result of new</w:t>
            </w:r>
          </w:p>
          <w:p>
            <w:r>
              <w:t>management plans, statutes and</w:t>
            </w:r>
            <w:r>
              <w:rPr>
                <w:rFonts w:hint="eastAsia"/>
              </w:rPr>
              <w:t xml:space="preserve"> </w:t>
            </w:r>
            <w:r>
              <w:t>policies, might lead to economic</w:t>
            </w:r>
            <w:r>
              <w:rPr>
                <w:rFonts w:hint="eastAsia"/>
              </w:rPr>
              <w:t xml:space="preserve"> </w:t>
            </w:r>
            <w:r>
              <w:t>displacement of communities, and</w:t>
            </w:r>
            <w:r>
              <w:rPr>
                <w:rFonts w:hint="eastAsia"/>
              </w:rPr>
              <w:t xml:space="preserve"> </w:t>
            </w:r>
            <w:r>
              <w:t>this could be exacerbated if the</w:t>
            </w:r>
            <w:r>
              <w:rPr>
                <w:rFonts w:hint="eastAsia"/>
              </w:rPr>
              <w:t xml:space="preserve"> </w:t>
            </w:r>
            <w:r>
              <w:t>anticipated livelihood benefits to</w:t>
            </w:r>
            <w:r>
              <w:rPr>
                <w:rFonts w:hint="eastAsia"/>
              </w:rPr>
              <w:t xml:space="preserve"> </w:t>
            </w:r>
            <w:r>
              <w:t>local people (including from ethnic</w:t>
            </w:r>
            <w:r>
              <w:rPr>
                <w:rFonts w:hint="eastAsia"/>
              </w:rPr>
              <w:t xml:space="preserve"> </w:t>
            </w:r>
            <w:r>
              <w:t>minorities) do not materialize as</w:t>
            </w:r>
            <w:r>
              <w:rPr>
                <w:rFonts w:hint="eastAsia"/>
              </w:rPr>
              <w:t xml:space="preserve"> </w:t>
            </w:r>
            <w:r>
              <w:t>planned.</w:t>
            </w:r>
          </w:p>
          <w:p>
            <w:pPr>
              <w:rPr>
                <w:lang w:eastAsia="zh-CN"/>
              </w:rPr>
            </w:pPr>
            <w:r>
              <w:rPr>
                <w:rFonts w:hint="eastAsia"/>
                <w:lang w:eastAsia="zh-CN"/>
              </w:rPr>
              <w:t>风险 2：由于新的管理计划、法规和政策，资源的获取受到限制，这可能会导致社区经济失衡，如果当地人（包括少数民族）预期的生计利益不能按计划实现，这种情况可能会更加严重。</w:t>
            </w:r>
          </w:p>
        </w:tc>
        <w:tc>
          <w:tcPr>
            <w:tcW w:w="656" w:type="pct"/>
            <w:tcBorders>
              <w:top w:val="single" w:color="auto" w:sz="4" w:space="0"/>
              <w:left w:val="single" w:color="auto" w:sz="4" w:space="0"/>
              <w:bottom w:val="single" w:color="auto" w:sz="4" w:space="0"/>
              <w:right w:val="single" w:color="auto" w:sz="4" w:space="0"/>
            </w:tcBorders>
          </w:tcPr>
          <w:p>
            <w:r>
              <w:t>Due to restrictions on the use of forest resources, local residents, especially minority groups, may face changes in their lifestyles and economic displacement. This could affect the project objective of respecting the rights of indigenous peoples and local communities.</w:t>
            </w:r>
          </w:p>
          <w:p>
            <w:pPr>
              <w:rPr>
                <w:lang w:eastAsia="zh-CN"/>
              </w:rPr>
            </w:pPr>
            <w:r>
              <w:rPr>
                <w:rFonts w:hint="eastAsia"/>
                <w:lang w:eastAsia="zh-CN"/>
              </w:rPr>
              <w:t>由于对森林资源使用的限制，当地居民，特别是少数民族，可能面临生活方式的改变和经济流离失所。这可能影响到尊重原住民和当地社区权利的项目目标。</w:t>
            </w:r>
          </w:p>
        </w:tc>
        <w:tc>
          <w:tcPr>
            <w:tcW w:w="353" w:type="pct"/>
            <w:tcBorders>
              <w:top w:val="single" w:color="auto" w:sz="4" w:space="0"/>
              <w:left w:val="single" w:color="auto" w:sz="4" w:space="0"/>
              <w:bottom w:val="single" w:color="auto" w:sz="4" w:space="0"/>
              <w:right w:val="single" w:color="auto" w:sz="4" w:space="0"/>
            </w:tcBorders>
          </w:tcPr>
          <w:sdt>
            <w:sdtPr>
              <w:id w:val="-845024757"/>
              <w:placeholder>
                <w:docPart w:val="5A6822FA021B4996B600956E6910121D"/>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rPr>
                <w:rFonts w:hint="eastAsia"/>
              </w:rPr>
              <w:t>09</w:t>
            </w:r>
            <w:r>
              <w:t>/01/2023 to 31/12/202</w:t>
            </w:r>
            <w:r>
              <w:rPr>
                <w:rFonts w:hint="eastAsia"/>
              </w:rPr>
              <w:t>4</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tc>
        <w:tc>
          <w:tcPr>
            <w:tcW w:w="1112" w:type="pct"/>
            <w:tcBorders>
              <w:top w:val="single" w:color="auto" w:sz="4" w:space="0"/>
              <w:left w:val="single" w:color="auto" w:sz="4" w:space="0"/>
              <w:bottom w:val="single" w:color="auto" w:sz="4" w:space="0"/>
              <w:right w:val="single" w:color="auto" w:sz="4" w:space="0"/>
            </w:tcBorders>
          </w:tcPr>
          <w:p>
            <w:pPr>
              <w:ind w:left="360" w:hanging="360"/>
            </w:pPr>
            <w:r>
              <w:rPr>
                <w:rFonts w:hint="eastAsia"/>
              </w:rPr>
              <w:t>2</w:t>
            </w:r>
            <w:r>
              <w:t xml:space="preserve"> actions were taken:</w:t>
            </w:r>
          </w:p>
          <w:p>
            <w:pPr>
              <w:pStyle w:val="37"/>
              <w:numPr>
                <w:ilvl w:val="0"/>
                <w:numId w:val="4"/>
              </w:numPr>
            </w:pPr>
            <w:r>
              <w:t>An Indigenous Peoples Planning Framework (IPPF) has been prepared and annexed to the Project Document</w:t>
            </w:r>
            <w:r>
              <w:rPr>
                <w:rFonts w:hint="eastAsia"/>
              </w:rPr>
              <w:t>.</w:t>
            </w:r>
          </w:p>
          <w:p>
            <w:pPr>
              <w:pStyle w:val="37"/>
              <w:numPr>
                <w:ilvl w:val="0"/>
                <w:numId w:val="4"/>
              </w:numPr>
              <w:spacing w:before="40" w:after="40"/>
            </w:pPr>
            <w:r>
              <w:rPr>
                <w:rFonts w:hint="eastAsia"/>
              </w:rPr>
              <w:t xml:space="preserve"> </w:t>
            </w:r>
            <w:r>
              <w:t>T</w:t>
            </w:r>
            <w:r>
              <w:rPr>
                <w:rFonts w:hint="eastAsia"/>
              </w:rPr>
              <w:t>he</w:t>
            </w:r>
            <w:r>
              <w:t xml:space="preserve"> </w:t>
            </w:r>
            <w:r>
              <w:rPr>
                <w:rFonts w:hint="eastAsia"/>
              </w:rPr>
              <w:t>project</w:t>
            </w:r>
            <w:r>
              <w:t xml:space="preserve"> </w:t>
            </w:r>
            <w:r>
              <w:rPr>
                <w:rFonts w:hint="eastAsia"/>
              </w:rPr>
              <w:t>is</w:t>
            </w:r>
            <w:r>
              <w:t xml:space="preserve"> </w:t>
            </w:r>
            <w:r>
              <w:rPr>
                <w:rFonts w:hint="eastAsia"/>
              </w:rPr>
              <w:t>c</w:t>
            </w:r>
            <w:r>
              <w:t xml:space="preserve">onducting a participatory survey in natural forest protection and restoration areas </w:t>
            </w:r>
            <w:r>
              <w:rPr>
                <w:rFonts w:hint="eastAsia"/>
              </w:rPr>
              <w:t>to</w:t>
            </w:r>
            <w:r>
              <w:t xml:space="preserve"> </w:t>
            </w:r>
            <w:r>
              <w:rPr>
                <w:rFonts w:hint="eastAsia"/>
              </w:rPr>
              <w:t>find</w:t>
            </w:r>
            <w:r>
              <w:t xml:space="preserve"> whether local people can still sustainably utilize some forest resources according to regulations </w:t>
            </w:r>
            <w:r>
              <w:rPr>
                <w:rFonts w:hint="eastAsia"/>
              </w:rPr>
              <w:t>or</w:t>
            </w:r>
            <w:r>
              <w:t xml:space="preserve"> </w:t>
            </w:r>
            <w:r>
              <w:rPr>
                <w:rFonts w:hint="eastAsia"/>
              </w:rPr>
              <w:t>not.</w:t>
            </w:r>
          </w:p>
          <w:p>
            <w:pPr>
              <w:spacing w:before="40" w:after="40"/>
              <w:rPr>
                <w:lang w:eastAsia="zh-CN"/>
              </w:rPr>
            </w:pPr>
            <w:r>
              <w:rPr>
                <w:rFonts w:hint="eastAsia"/>
                <w:lang w:eastAsia="zh-CN"/>
              </w:rPr>
              <w:t>采取了2项行动：</w:t>
            </w:r>
          </w:p>
          <w:p>
            <w:pPr>
              <w:spacing w:before="40" w:after="40"/>
              <w:rPr>
                <w:lang w:eastAsia="zh-CN"/>
              </w:rPr>
            </w:pPr>
            <w:r>
              <w:rPr>
                <w:rFonts w:hint="eastAsia"/>
                <w:lang w:eastAsia="zh-CN"/>
              </w:rPr>
              <w:t>•已经编制了原住民规划框架（IPPF），并作为项目文件的附件。</w:t>
            </w:r>
          </w:p>
          <w:p>
            <w:pPr>
              <w:spacing w:before="40" w:after="40"/>
              <w:rPr>
                <w:lang w:eastAsia="zh-CN"/>
              </w:rPr>
            </w:pPr>
            <w:r>
              <w:rPr>
                <w:rFonts w:hint="eastAsia"/>
                <w:lang w:eastAsia="zh-CN"/>
              </w:rPr>
              <w:t>•在天然林保护和恢复地区进行参与式调查，以了解当地人是否仍能根据法规可持续利用森林资源。</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S</w:t>
            </w:r>
            <w:r>
              <w:rPr>
                <w:rFonts w:hint="eastAsia"/>
              </w:rPr>
              <w:t>ocial</w:t>
            </w:r>
            <w:r>
              <w:t xml:space="preserve"> and E</w:t>
            </w:r>
            <w:r>
              <w:rPr>
                <w:rFonts w:hint="eastAsia"/>
              </w:rPr>
              <w:t>nvironmental</w:t>
            </w:r>
            <w:r>
              <w:t xml:space="preserve"> Safeguard Specialist, M&amp;E-KM Officer, Landscape Coordinators</w:t>
            </w:r>
          </w:p>
          <w:p>
            <w:pPr>
              <w:rPr>
                <w:lang w:eastAsia="zh-CN"/>
              </w:rPr>
            </w:pPr>
            <w:r>
              <w:rPr>
                <w:rFonts w:hint="eastAsia"/>
                <w:lang w:eastAsia="zh-CN"/>
              </w:rPr>
              <w:t>项目经理、国家技术顾问、可持续森林管理专家、性别与社会环境保障专家、监测评估与知识管理官员、景观协调员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3</w:t>
            </w:r>
          </w:p>
        </w:tc>
        <w:tc>
          <w:tcPr>
            <w:tcW w:w="556" w:type="pct"/>
            <w:tcBorders>
              <w:top w:val="single" w:color="auto" w:sz="4" w:space="0"/>
              <w:left w:val="single" w:color="auto" w:sz="4" w:space="0"/>
              <w:bottom w:val="single" w:color="auto" w:sz="4" w:space="0"/>
              <w:right w:val="single" w:color="auto" w:sz="4" w:space="0"/>
            </w:tcBorders>
          </w:tcPr>
          <w:sdt>
            <w:sdtPr>
              <w:id w:val="416294013"/>
              <w:placeholder>
                <w:docPart w:val="CEB6102227464370B97FEE5088000622"/>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r>
                  <w:t>Social and Environmental</w:t>
                </w:r>
              </w:p>
            </w:sdtContent>
          </w:sdt>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Due to a lack of awareness or corresponding activities,</w:t>
            </w:r>
            <w:r>
              <w:rPr>
                <w:rFonts w:hint="eastAsia"/>
              </w:rPr>
              <w:t xml:space="preserve"> </w:t>
            </w:r>
            <w:r>
              <w:t>women may have fewer opportunities to participate in forest ecological restoration projects compared to men</w:t>
            </w:r>
          </w:p>
          <w:p>
            <w:pPr>
              <w:rPr>
                <w:lang w:eastAsia="zh-CN"/>
              </w:rPr>
            </w:pPr>
            <w:r>
              <w:rPr>
                <w:rFonts w:hint="eastAsia"/>
                <w:lang w:eastAsia="zh-CN"/>
              </w:rPr>
              <w:t>由于缺乏认识或相应的活动，与男性相比，女性参与森林生态恢复项目的机会可能更少</w:t>
            </w:r>
          </w:p>
        </w:tc>
        <w:tc>
          <w:tcPr>
            <w:tcW w:w="557" w:type="pct"/>
            <w:tcBorders>
              <w:top w:val="single" w:color="auto" w:sz="4" w:space="0"/>
              <w:left w:val="single" w:color="auto" w:sz="4" w:space="0"/>
              <w:bottom w:val="single" w:color="auto" w:sz="4" w:space="0"/>
              <w:right w:val="single" w:color="auto" w:sz="4" w:space="0"/>
            </w:tcBorders>
          </w:tcPr>
          <w:p>
            <w:r>
              <w:t>Project activities and approaches might not fully incorporate or reflect views of women and girls and ensure equitable opportunities for their involvement and benefit; and there is a risk that a prolonged or recurrent COVID-19 pandemic would exacerbate gender inequality.</w:t>
            </w:r>
          </w:p>
          <w:p>
            <w:pPr>
              <w:rPr>
                <w:lang w:eastAsia="zh-CN"/>
              </w:rPr>
            </w:pPr>
            <w:r>
              <w:rPr>
                <w:rFonts w:hint="eastAsia"/>
                <w:lang w:eastAsia="zh-CN"/>
              </w:rPr>
              <w:t>风险 3：项目活动和方法可能无法充分纳入或反映妇女和女童的观点，也无法确保她们有公平的机会参与其中并从中受益；COVID-19大流行病的长期或反复发生可能会加剧性别不平等。</w:t>
            </w:r>
          </w:p>
        </w:tc>
        <w:tc>
          <w:tcPr>
            <w:tcW w:w="656" w:type="pct"/>
            <w:tcBorders>
              <w:top w:val="single" w:color="auto" w:sz="4" w:space="0"/>
              <w:left w:val="single" w:color="auto" w:sz="4" w:space="0"/>
              <w:bottom w:val="single" w:color="auto" w:sz="4" w:space="0"/>
              <w:right w:val="single" w:color="auto" w:sz="4" w:space="0"/>
            </w:tcBorders>
          </w:tcPr>
          <w:p>
            <w:r>
              <w:t>This could affect various equal opportunities for the participation of women and children in ecological restoration activities, further impacting their empowerment.</w:t>
            </w:r>
          </w:p>
          <w:p>
            <w:pPr>
              <w:rPr>
                <w:lang w:eastAsia="zh-CN"/>
              </w:rPr>
            </w:pPr>
            <w:r>
              <w:rPr>
                <w:rFonts w:hint="eastAsia"/>
                <w:lang w:eastAsia="zh-CN"/>
              </w:rPr>
              <w:t>这可能影响妇女和儿童参与生态恢复活动的各种平等机会，进一步影响赋予他们权力。</w:t>
            </w:r>
          </w:p>
        </w:tc>
        <w:tc>
          <w:tcPr>
            <w:tcW w:w="353" w:type="pct"/>
            <w:tcBorders>
              <w:top w:val="single" w:color="auto" w:sz="4" w:space="0"/>
              <w:left w:val="single" w:color="auto" w:sz="4" w:space="0"/>
              <w:bottom w:val="single" w:color="auto" w:sz="4" w:space="0"/>
              <w:right w:val="single" w:color="auto" w:sz="4" w:space="0"/>
            </w:tcBorders>
          </w:tcPr>
          <w:sdt>
            <w:sdtPr>
              <w:id w:val="-879932836"/>
              <w:placeholder>
                <w:docPart w:val="B7B2675F08284C59BBB6554432D3BBC1"/>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t>09/01/2023 to 31/12/202</w:t>
            </w:r>
            <w:r>
              <w:rPr>
                <w:rFonts w:hint="eastAsia"/>
              </w:rPr>
              <w:t>6</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p/>
        </w:tc>
        <w:tc>
          <w:tcPr>
            <w:tcW w:w="1112" w:type="pct"/>
            <w:tcBorders>
              <w:top w:val="single" w:color="auto" w:sz="4" w:space="0"/>
              <w:left w:val="single" w:color="auto" w:sz="4" w:space="0"/>
              <w:bottom w:val="single" w:color="auto" w:sz="4" w:space="0"/>
              <w:right w:val="single" w:color="auto" w:sz="4" w:space="0"/>
            </w:tcBorders>
          </w:tcPr>
          <w:p>
            <w:pPr>
              <w:ind w:left="360" w:hanging="360"/>
            </w:pPr>
            <w:r>
              <w:t>1 actions were taken:</w:t>
            </w:r>
          </w:p>
          <w:p>
            <w:pPr>
              <w:pStyle w:val="37"/>
              <w:numPr>
                <w:ilvl w:val="0"/>
                <w:numId w:val="4"/>
              </w:numPr>
            </w:pPr>
            <w:r>
              <w:t xml:space="preserve">On September 26, 2023, Gender-Safeguards Specialist conducted specialized gender training and discussion activities for decision-makers and staff in five </w:t>
            </w:r>
            <w:r>
              <w:rPr>
                <w:rFonts w:hint="eastAsia"/>
              </w:rPr>
              <w:t>target</w:t>
            </w:r>
            <w:r>
              <w:t xml:space="preserve"> landscape areas in Changting County, to enhance awareness of female participation and gender mainstreaming in project implementation</w:t>
            </w:r>
          </w:p>
          <w:p>
            <w:pPr>
              <w:ind w:left="360" w:hanging="360"/>
              <w:rPr>
                <w:lang w:eastAsia="zh-CN"/>
              </w:rPr>
            </w:pPr>
            <w:r>
              <w:rPr>
                <w:rFonts w:hint="eastAsia"/>
                <w:lang w:eastAsia="zh-CN"/>
              </w:rPr>
              <w:t>采取了1项行动：</w:t>
            </w:r>
          </w:p>
          <w:p>
            <w:pPr>
              <w:spacing w:before="40" w:after="40"/>
              <w:rPr>
                <w:lang w:eastAsia="zh-CN"/>
              </w:rPr>
            </w:pPr>
            <w:r>
              <w:rPr>
                <w:rFonts w:hint="eastAsia"/>
                <w:lang w:eastAsia="zh-CN"/>
              </w:rPr>
              <w:t>•2023年9月26日，性别与社会环境保障专家在长汀县为五个目标景观区的决策者和工作人员进行了专门的性别培训和讨论活动，以提高对项目实施中女性参与和性别主流化的认识</w:t>
            </w:r>
          </w:p>
          <w:p>
            <w:pPr>
              <w:ind w:left="360" w:hanging="360"/>
              <w:rPr>
                <w:lang w:eastAsia="zh-CN"/>
              </w:rPr>
            </w:pP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Gender-Safeguards Specialist</w:t>
            </w:r>
          </w:p>
          <w:p>
            <w:pPr>
              <w:rPr>
                <w:lang w:eastAsia="zh-CN"/>
              </w:rPr>
            </w:pPr>
            <w:r>
              <w:rPr>
                <w:rFonts w:hint="eastAsia"/>
                <w:lang w:eastAsia="zh-CN"/>
              </w:rPr>
              <w:t>项目经理、国家技术顾问、可持续森林管理专家、性别与社会环境保障专家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4</w:t>
            </w:r>
          </w:p>
        </w:tc>
        <w:tc>
          <w:tcPr>
            <w:tcW w:w="556" w:type="pct"/>
            <w:tcBorders>
              <w:top w:val="single" w:color="auto" w:sz="4" w:space="0"/>
              <w:left w:val="single" w:color="auto" w:sz="4" w:space="0"/>
              <w:bottom w:val="single" w:color="auto" w:sz="4" w:space="0"/>
              <w:right w:val="single" w:color="auto" w:sz="4" w:space="0"/>
            </w:tcBorders>
          </w:tcPr>
          <w:sdt>
            <w:sdtPr>
              <w:id w:val="1565072072"/>
              <w:placeholder>
                <w:docPart w:val="6B046D09B8A74479B2B1630F50AB80FE"/>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r>
                  <w:t>Social and Environmental</w:t>
                </w:r>
              </w:p>
            </w:sdtContent>
          </w:sdt>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The demonstration intervention area is not located within the protected area, but certain portions of the target landscape are classified as critical ecological functional zones. Improperly designed project activities or policies may pose a risk of environmental damage."</w:t>
            </w:r>
          </w:p>
          <w:p>
            <w:pPr>
              <w:rPr>
                <w:lang w:eastAsia="zh-CN"/>
              </w:rPr>
            </w:pPr>
            <w:r>
              <w:rPr>
                <w:rFonts w:hint="eastAsia"/>
                <w:lang w:eastAsia="zh-CN"/>
              </w:rPr>
              <w:t>项目区不在保护区内，但目标景观的某些部分被归类为关键生态功能区。项目活动或政策设计不当可能造成环境破坏的风险。</w:t>
            </w:r>
          </w:p>
        </w:tc>
        <w:tc>
          <w:tcPr>
            <w:tcW w:w="557" w:type="pct"/>
            <w:tcBorders>
              <w:top w:val="single" w:color="auto" w:sz="4" w:space="0"/>
              <w:left w:val="single" w:color="auto" w:sz="4" w:space="0"/>
              <w:bottom w:val="single" w:color="auto" w:sz="4" w:space="0"/>
              <w:right w:val="single" w:color="auto" w:sz="4" w:space="0"/>
            </w:tcBorders>
          </w:tcPr>
          <w:p>
            <w:r>
              <w:t>Poorly designed or executed project activities could damage environmentally sensitive areas, including through the introduction of invasive alien species during forest land restoration.</w:t>
            </w:r>
          </w:p>
          <w:p>
            <w:pPr>
              <w:rPr>
                <w:lang w:eastAsia="zh-CN"/>
              </w:rPr>
            </w:pPr>
            <w:r>
              <w:rPr>
                <w:rFonts w:hint="eastAsia"/>
                <w:lang w:eastAsia="zh-CN"/>
              </w:rPr>
              <w:t>风险 4：设计或执行不当的项目活动可能会破坏环境脆弱地区，包括在林地恢复过程中引入外来入侵物种。</w:t>
            </w:r>
          </w:p>
        </w:tc>
        <w:tc>
          <w:tcPr>
            <w:tcW w:w="656" w:type="pct"/>
            <w:tcBorders>
              <w:top w:val="single" w:color="auto" w:sz="4" w:space="0"/>
              <w:left w:val="single" w:color="auto" w:sz="4" w:space="0"/>
              <w:bottom w:val="single" w:color="auto" w:sz="4" w:space="0"/>
              <w:right w:val="single" w:color="auto" w:sz="4" w:space="0"/>
            </w:tcBorders>
          </w:tcPr>
          <w:p>
            <w:r>
              <w:t>Poorly designed project activities may trigger widespread environmental risks, such as soil erosion, landslides, etc., especially in environmentally sensitive areas.</w:t>
            </w:r>
          </w:p>
          <w:p>
            <w:pPr>
              <w:rPr>
                <w:lang w:eastAsia="zh-CN"/>
              </w:rPr>
            </w:pPr>
            <w:r>
              <w:rPr>
                <w:rFonts w:hint="eastAsia"/>
                <w:lang w:eastAsia="zh-CN"/>
              </w:rPr>
              <w:t>设计不当的项目活动可能引发广泛的环境风险，如土壤侵蚀、山体滑坡等，尤其是在环境敏感地区。</w:t>
            </w:r>
          </w:p>
        </w:tc>
        <w:tc>
          <w:tcPr>
            <w:tcW w:w="353" w:type="pct"/>
            <w:tcBorders>
              <w:top w:val="single" w:color="auto" w:sz="4" w:space="0"/>
              <w:left w:val="single" w:color="auto" w:sz="4" w:space="0"/>
              <w:bottom w:val="single" w:color="auto" w:sz="4" w:space="0"/>
              <w:right w:val="single" w:color="auto" w:sz="4" w:space="0"/>
            </w:tcBorders>
          </w:tcPr>
          <w:sdt>
            <w:sdtPr>
              <w:id w:val="-2007440520"/>
              <w:placeholder>
                <w:docPart w:val="F4A2E812B5C5414699366B1AFAA4971F"/>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t>09/01/2023 to 31/12/202</w:t>
            </w:r>
            <w:r>
              <w:rPr>
                <w:rFonts w:hint="eastAsia"/>
              </w:rPr>
              <w:t>7</w:t>
            </w:r>
          </w:p>
        </w:tc>
        <w:tc>
          <w:tcPr>
            <w:tcW w:w="455" w:type="pct"/>
            <w:tcBorders>
              <w:top w:val="single" w:color="auto" w:sz="4" w:space="0"/>
              <w:left w:val="single" w:color="auto" w:sz="4" w:space="0"/>
              <w:bottom w:val="single" w:color="auto" w:sz="4" w:space="0"/>
              <w:right w:val="single" w:color="auto" w:sz="4" w:space="0"/>
            </w:tcBorders>
          </w:tcPr>
          <w:p>
            <w:r>
              <w:t>I=4</w:t>
            </w:r>
          </w:p>
          <w:p>
            <w:r>
              <w:t>L=2</w:t>
            </w:r>
          </w:p>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4"/>
              </w:numPr>
            </w:pPr>
            <w:r>
              <w:t xml:space="preserve">Biophysical characteristics of the five project target landscapes, as well as locations and severities of degraded natural forest areas, completed restoration work and current priorities of national and local forest management entities have been analyzed during the PPG phase and documented into landscape profiles, which are annexed to the </w:t>
            </w:r>
            <w:r>
              <w:rPr>
                <w:rFonts w:hint="eastAsia"/>
              </w:rPr>
              <w:t>p</w:t>
            </w:r>
            <w:r>
              <w:t xml:space="preserve">roject </w:t>
            </w:r>
            <w:r>
              <w:rPr>
                <w:rFonts w:hint="eastAsia"/>
              </w:rPr>
              <w:t>d</w:t>
            </w:r>
            <w:r>
              <w:t>ocument</w:t>
            </w:r>
          </w:p>
          <w:p>
            <w:pPr>
              <w:pStyle w:val="37"/>
              <w:numPr>
                <w:ilvl w:val="0"/>
                <w:numId w:val="4"/>
              </w:numPr>
            </w:pPr>
            <w:r>
              <w:t xml:space="preserve">We </w:t>
            </w:r>
            <w:r>
              <w:rPr>
                <w:rFonts w:hint="eastAsia"/>
              </w:rPr>
              <w:t>are</w:t>
            </w:r>
            <w:r>
              <w:t xml:space="preserve"> carrying out </w:t>
            </w:r>
            <w:r>
              <w:rPr>
                <w:rFonts w:hint="eastAsia"/>
              </w:rPr>
              <w:t>a</w:t>
            </w:r>
            <w:r>
              <w:t xml:space="preserve"> survey on the environmental risks, triggered by poorly designed or executed project activities, such as soil erosion, landslides, etc., especially in environmentally sensitive areas.</w:t>
            </w:r>
          </w:p>
          <w:p>
            <w:pPr>
              <w:ind w:left="360" w:hanging="360"/>
              <w:rPr>
                <w:lang w:eastAsia="zh-CN"/>
              </w:rPr>
            </w:pPr>
            <w:r>
              <w:rPr>
                <w:rFonts w:hint="eastAsia"/>
                <w:lang w:eastAsia="zh-CN"/>
              </w:rPr>
              <w:t>采取了两项行动：</w:t>
            </w:r>
          </w:p>
          <w:p>
            <w:pPr>
              <w:spacing w:before="40" w:after="40"/>
              <w:rPr>
                <w:lang w:eastAsia="zh-CN"/>
              </w:rPr>
            </w:pPr>
            <w:r>
              <w:rPr>
                <w:rFonts w:hint="eastAsia"/>
                <w:lang w:eastAsia="zh-CN"/>
              </w:rPr>
              <w:t>•在项目准备阶段，对五个项目目标景观的生物物理特征、退化天然林区的位置和严重程度、已完成的恢复工作以及国家和地方森林管理实体的当前优先事项进行了分析，并将其记录在项目文件的景观简介中。</w:t>
            </w:r>
          </w:p>
          <w:p>
            <w:pPr>
              <w:spacing w:before="40" w:after="40"/>
              <w:rPr>
                <w:lang w:eastAsia="zh-CN"/>
              </w:rPr>
            </w:pPr>
            <w:r>
              <w:rPr>
                <w:rFonts w:hint="eastAsia"/>
                <w:lang w:eastAsia="zh-CN"/>
              </w:rPr>
              <w:t>•我们正在对设计或执行不当的项目活动引发的环境风险进行调查，如土壤侵蚀、山体滑坡等，尤其是在环境敏感地区。</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Environmental Safeguard Specialist, M&amp;E-KM Officer, Landscape Coordinators</w:t>
            </w:r>
          </w:p>
          <w:p>
            <w:pPr>
              <w:rPr>
                <w:lang w:eastAsia="zh-CN"/>
              </w:rPr>
            </w:pPr>
            <w:r>
              <w:rPr>
                <w:rFonts w:hint="eastAsia"/>
                <w:lang w:eastAsia="zh-CN"/>
              </w:rPr>
              <w:t>项目经理、国家技术顾问、可持续森林管理专家、性别与社会环境保护专家、监测评估与知识管理官员、景观协调员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5</w:t>
            </w:r>
          </w:p>
          <w:p/>
        </w:tc>
        <w:tc>
          <w:tcPr>
            <w:tcW w:w="556" w:type="pct"/>
            <w:tcBorders>
              <w:top w:val="single" w:color="auto" w:sz="4" w:space="0"/>
              <w:left w:val="single" w:color="auto" w:sz="4" w:space="0"/>
              <w:bottom w:val="single" w:color="auto" w:sz="4" w:space="0"/>
              <w:right w:val="single" w:color="auto" w:sz="4" w:space="0"/>
            </w:tcBorders>
          </w:tcPr>
          <w:p>
            <w:r>
              <w:t>Social and Environmental</w:t>
            </w:r>
          </w:p>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Climate change-induced temperature rise and changes in precipitation patterns may impact the growth and distribution of tree species, with certain species potentially facing challenges in adapting to new climate conditions. Droughts and extreme weather events triggered by climate change could lead to disaster risks such as forest fires, soil erosion, and landslides in natural forest ecosystems.</w:t>
            </w:r>
          </w:p>
          <w:p>
            <w:pPr>
              <w:rPr>
                <w:lang w:eastAsia="zh-CN"/>
              </w:rPr>
            </w:pPr>
            <w:r>
              <w:rPr>
                <w:rFonts w:hint="eastAsia"/>
                <w:lang w:eastAsia="zh-CN"/>
              </w:rPr>
              <w:t>气候变化引起的气温上升和降水模式的变化可能会影响树种的生长和分布，某些物种在适应新的气候条件方面可能面临挑战。气候变化引发的干旱和极端天气事件可能导致自然森林生态系统中的森林火灾、土壤侵蚀和山体滑坡等灾害风险。</w:t>
            </w:r>
          </w:p>
        </w:tc>
        <w:tc>
          <w:tcPr>
            <w:tcW w:w="557" w:type="pct"/>
            <w:tcBorders>
              <w:top w:val="single" w:color="auto" w:sz="4" w:space="0"/>
              <w:left w:val="single" w:color="auto" w:sz="4" w:space="0"/>
              <w:bottom w:val="single" w:color="auto" w:sz="4" w:space="0"/>
              <w:right w:val="single" w:color="auto" w:sz="4" w:space="0"/>
            </w:tcBorders>
          </w:tcPr>
          <w:p>
            <w:r>
              <w:t>Climatic unpredictability, periodic droughts, changes in rainfall distribution, altered frequency of extreme weather events, rising temperatures may affect project results, restoration of degraded forest lands; and a potential economic downturn as a result of a prolonged or recurrent COVID-19 pandemic (or similar) may increase the vulnerability and coping capacities of local government units and communities.</w:t>
            </w:r>
          </w:p>
          <w:p>
            <w:pPr>
              <w:rPr>
                <w:lang w:eastAsia="zh-CN"/>
              </w:rPr>
            </w:pPr>
            <w:r>
              <w:rPr>
                <w:rFonts w:hint="eastAsia"/>
                <w:lang w:eastAsia="zh-CN"/>
              </w:rPr>
              <w:t>风险 5： 气候的不可预测性、周期性干旱、降雨分布的变化、极端天气事件频率的改变以及气温的升高可能会影响项目成果、退化林地的恢复；COVID-19 大流行病（或类似疾病）的长期或反复发生可能导致的经济衰退可能会增加地方政府单位和社区的脆弱性和应对能力。</w:t>
            </w:r>
          </w:p>
        </w:tc>
        <w:tc>
          <w:tcPr>
            <w:tcW w:w="656" w:type="pct"/>
            <w:tcBorders>
              <w:top w:val="single" w:color="auto" w:sz="4" w:space="0"/>
              <w:left w:val="single" w:color="auto" w:sz="4" w:space="0"/>
              <w:bottom w:val="single" w:color="auto" w:sz="4" w:space="0"/>
              <w:right w:val="single" w:color="auto" w:sz="4" w:space="0"/>
            </w:tcBorders>
          </w:tcPr>
          <w:p>
            <w:r>
              <w:t>The risks caused by climate change may increase the difficulty of natural forest restoration and decrease the effectiveness of protection, thereby affecting the outcomes of the project.</w:t>
            </w:r>
          </w:p>
          <w:p>
            <w:pPr>
              <w:rPr>
                <w:lang w:eastAsia="zh-CN"/>
              </w:rPr>
            </w:pPr>
            <w:r>
              <w:rPr>
                <w:rFonts w:hint="eastAsia"/>
                <w:lang w:eastAsia="zh-CN"/>
              </w:rPr>
              <w:t>气候变化带来的风险可能会增加天然林恢复的难度，降低保护的有效性，从而影响项目的成果。</w:t>
            </w:r>
          </w:p>
        </w:tc>
        <w:tc>
          <w:tcPr>
            <w:tcW w:w="353" w:type="pct"/>
            <w:tcBorders>
              <w:top w:val="single" w:color="auto" w:sz="4" w:space="0"/>
              <w:left w:val="single" w:color="auto" w:sz="4" w:space="0"/>
              <w:bottom w:val="single" w:color="auto" w:sz="4" w:space="0"/>
              <w:right w:val="single" w:color="auto" w:sz="4" w:space="0"/>
            </w:tcBorders>
          </w:tcPr>
          <w:sdt>
            <w:sdtPr>
              <w:id w:val="-789589593"/>
              <w:placeholder>
                <w:docPart w:val="D83FE06775E24093A2E3A43760E98DF1"/>
              </w:placeholder>
              <w:dropDownList>
                <w:listItem w:value="Choose an item."/>
                <w:listItem w:displayText="Not started" w:value="Not started"/>
                <w:listItem w:displayText="Ongoing" w:value="Ongoing"/>
                <w:listItem w:displayText="Completed" w:value="Completed"/>
              </w:dropDownList>
            </w:sdtPr>
            <w:sdtContent>
              <w:p>
                <w:r>
                  <w:t>Ongoing</w:t>
                </w:r>
              </w:p>
            </w:sdtContent>
          </w:sdt>
        </w:tc>
        <w:tc>
          <w:tcPr>
            <w:tcW w:w="455" w:type="pct"/>
            <w:tcBorders>
              <w:top w:val="single" w:color="auto" w:sz="4" w:space="0"/>
              <w:left w:val="single" w:color="auto" w:sz="4" w:space="0"/>
              <w:bottom w:val="single" w:color="auto" w:sz="4" w:space="0"/>
              <w:right w:val="single" w:color="auto" w:sz="4" w:space="0"/>
            </w:tcBorders>
          </w:tcPr>
          <w:p>
            <w:r>
              <w:t>I=3</w:t>
            </w:r>
          </w:p>
          <w:p>
            <w:r>
              <w:t>L=3</w:t>
            </w:r>
          </w:p>
          <w:p/>
        </w:tc>
        <w:tc>
          <w:tcPr>
            <w:tcW w:w="1112" w:type="pct"/>
            <w:tcBorders>
              <w:top w:val="single" w:color="auto" w:sz="4" w:space="0"/>
              <w:left w:val="single" w:color="auto" w:sz="4" w:space="0"/>
              <w:bottom w:val="single" w:color="auto" w:sz="4" w:space="0"/>
              <w:right w:val="single" w:color="auto" w:sz="4" w:space="0"/>
            </w:tcBorders>
          </w:tcPr>
          <w:p>
            <w:r>
              <w:t>Existing climate-risk management systems and structures in the project</w:t>
            </w:r>
            <w:r>
              <w:rPr>
                <w:rFonts w:hint="eastAsia"/>
              </w:rPr>
              <w:t xml:space="preserve"> </w:t>
            </w:r>
            <w:r>
              <w:t>target landscapes were incorporated into the risk mitigation measures. These</w:t>
            </w:r>
            <w:r>
              <w:rPr>
                <w:rFonts w:hint="eastAsia"/>
              </w:rPr>
              <w:t xml:space="preserve"> </w:t>
            </w:r>
            <w:r>
              <w:t>include early warning systems (including</w:t>
            </w:r>
            <w:r>
              <w:rPr>
                <w:rFonts w:hint="eastAsia"/>
              </w:rPr>
              <w:t xml:space="preserve"> </w:t>
            </w:r>
            <w:r>
              <w:t>automatic weather stations operated by provincial and county level disaster</w:t>
            </w:r>
            <w:r>
              <w:rPr>
                <w:rFonts w:hint="eastAsia"/>
              </w:rPr>
              <w:t xml:space="preserve"> </w:t>
            </w:r>
            <w:r>
              <w:t>management entities, wildfire lookout towers operated by county forest</w:t>
            </w:r>
            <w:r>
              <w:rPr>
                <w:rFonts w:hint="eastAsia"/>
              </w:rPr>
              <w:t xml:space="preserve"> </w:t>
            </w:r>
            <w:r>
              <w:t>bureaus), county and village level emergency response teams, etc.</w:t>
            </w:r>
          </w:p>
          <w:p>
            <w:pPr>
              <w:rPr>
                <w:lang w:eastAsia="zh-CN"/>
              </w:rPr>
            </w:pPr>
            <w:r>
              <w:rPr>
                <w:rFonts w:hint="eastAsia"/>
                <w:lang w:eastAsia="zh-CN"/>
              </w:rPr>
              <w:t>项目景观</w:t>
            </w:r>
            <w:r>
              <w:rPr>
                <w:rFonts w:hint="eastAsia"/>
                <w:lang w:val="en-US" w:eastAsia="zh-CN"/>
              </w:rPr>
              <w:t>区</w:t>
            </w:r>
            <w:r>
              <w:rPr>
                <w:rFonts w:hint="eastAsia"/>
                <w:lang w:eastAsia="zh-CN"/>
              </w:rPr>
              <w:t>现有的气候风险管理系统和结构已纳入风险缓解措施。其中包括预警系统（包括省和县一级灾害管理实体运营的自动气象站、县林业局运营的野火了望台）、县和村一级应急小组等。</w:t>
            </w:r>
          </w:p>
          <w:p>
            <w:pPr>
              <w:ind w:left="360" w:hanging="360"/>
              <w:rPr>
                <w:lang w:eastAsia="zh-CN"/>
              </w:rPr>
            </w:pPr>
          </w:p>
        </w:tc>
        <w:tc>
          <w:tcPr>
            <w:tcW w:w="505" w:type="pct"/>
            <w:tcBorders>
              <w:top w:val="single" w:color="auto" w:sz="4" w:space="0"/>
              <w:left w:val="single" w:color="auto" w:sz="4" w:space="0"/>
              <w:bottom w:val="single" w:color="auto" w:sz="4" w:space="0"/>
              <w:right w:val="single" w:color="auto" w:sz="4" w:space="0"/>
            </w:tcBorders>
          </w:tcPr>
          <w:p>
            <w:pPr>
              <w:rPr>
                <w:lang w:eastAsia="zh-CN"/>
              </w:rPr>
            </w:pPr>
            <w:r>
              <w:t xml:space="preserve">Project Manager, National Technical Advisor, Sustainable Forest Management Specialist, Landscape </w:t>
            </w:r>
            <w:r>
              <w:rPr>
                <w:lang w:eastAsia="zh-CN"/>
              </w:rPr>
              <w:t>Coordinators</w:t>
            </w:r>
          </w:p>
          <w:p>
            <w:pPr>
              <w:rPr>
                <w:lang w:eastAsia="zh-CN"/>
              </w:rPr>
            </w:pPr>
            <w:r>
              <w:rPr>
                <w:rFonts w:hint="eastAsia"/>
                <w:lang w:eastAsia="zh-CN"/>
              </w:rPr>
              <w:t>项目经理、国家技术顾问、可持续森林管理专家、景观协调员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6</w:t>
            </w:r>
          </w:p>
          <w:p/>
        </w:tc>
        <w:tc>
          <w:tcPr>
            <w:tcW w:w="556" w:type="pct"/>
            <w:tcBorders>
              <w:top w:val="single" w:color="auto" w:sz="4" w:space="0"/>
              <w:left w:val="single" w:color="auto" w:sz="4" w:space="0"/>
              <w:bottom w:val="single" w:color="auto" w:sz="4" w:space="0"/>
              <w:right w:val="single" w:color="auto" w:sz="4" w:space="0"/>
            </w:tcBorders>
          </w:tcPr>
          <w:p>
            <w:r>
              <w:t>Social and environmental</w:t>
            </w:r>
          </w:p>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The prevalence of COVID-19 may affect project activities and project personnel</w:t>
            </w:r>
          </w:p>
          <w:p>
            <w:pPr>
              <w:rPr>
                <w:lang w:eastAsia="zh-CN"/>
              </w:rPr>
            </w:pPr>
            <w:r>
              <w:rPr>
                <w:rFonts w:hint="eastAsia"/>
                <w:lang w:eastAsia="zh-CN"/>
              </w:rPr>
              <w:t>新冠肺炎的流行可能会影响项目活动和项目人员</w:t>
            </w:r>
          </w:p>
        </w:tc>
        <w:tc>
          <w:tcPr>
            <w:tcW w:w="557" w:type="pct"/>
            <w:tcBorders>
              <w:top w:val="single" w:color="auto" w:sz="4" w:space="0"/>
              <w:left w:val="single" w:color="auto" w:sz="4" w:space="0"/>
              <w:bottom w:val="single" w:color="auto" w:sz="4" w:space="0"/>
              <w:right w:val="single" w:color="auto" w:sz="4" w:space="0"/>
            </w:tcBorders>
          </w:tcPr>
          <w:p>
            <w:r>
              <w:t>Local community members involved in project activities may be at a heightened risk of COVID-19 virus exposure, e.g., stakeholder meetings, workshops and trade fairs, community field work, etc.</w:t>
            </w:r>
          </w:p>
          <w:p>
            <w:pPr>
              <w:rPr>
                <w:lang w:eastAsia="zh-CN"/>
              </w:rPr>
            </w:pPr>
            <w:r>
              <w:rPr>
                <w:rFonts w:hint="eastAsia"/>
                <w:lang w:eastAsia="zh-CN"/>
              </w:rPr>
              <w:t>风险 6： 参与项目活动的当地社区成员接触 COVID-19 病毒的风险可能会增加，例如利益相关方会议、研讨会和交易会、社区实地工作等。</w:t>
            </w:r>
          </w:p>
        </w:tc>
        <w:tc>
          <w:tcPr>
            <w:tcW w:w="656" w:type="pct"/>
            <w:tcBorders>
              <w:top w:val="single" w:color="auto" w:sz="4" w:space="0"/>
              <w:left w:val="single" w:color="auto" w:sz="4" w:space="0"/>
              <w:bottom w:val="single" w:color="auto" w:sz="4" w:space="0"/>
              <w:right w:val="single" w:color="auto" w:sz="4" w:space="0"/>
            </w:tcBorders>
          </w:tcPr>
          <w:p>
            <w:r>
              <w:t>Training meetings, workshops, field work and other project activities may be delayed due to COVID-19</w:t>
            </w:r>
          </w:p>
          <w:p>
            <w:pPr>
              <w:rPr>
                <w:lang w:eastAsia="zh-CN"/>
              </w:rPr>
            </w:pPr>
            <w:r>
              <w:rPr>
                <w:rFonts w:hint="eastAsia"/>
                <w:lang w:eastAsia="zh-CN"/>
              </w:rPr>
              <w:t>由于新冠肺炎，培训会议、研讨会、现场工作和其他项目活动可能会推迟</w:t>
            </w:r>
          </w:p>
        </w:tc>
        <w:tc>
          <w:tcPr>
            <w:tcW w:w="353" w:type="pct"/>
            <w:tcBorders>
              <w:top w:val="single" w:color="auto" w:sz="4" w:space="0"/>
              <w:left w:val="single" w:color="auto" w:sz="4" w:space="0"/>
              <w:bottom w:val="single" w:color="auto" w:sz="4" w:space="0"/>
              <w:right w:val="single" w:color="auto" w:sz="4" w:space="0"/>
            </w:tcBorders>
          </w:tcPr>
          <w:sdt>
            <w:sdtPr>
              <w:id w:val="-1667856422"/>
              <w:placeholder>
                <w:docPart w:val="B58FC690C5F04317A4239D84CF846A5A"/>
              </w:placeholder>
              <w:dropDownList>
                <w:listItem w:value="Choose an item."/>
                <w:listItem w:displayText="Not started" w:value="Not started"/>
                <w:listItem w:displayText="Ongoing" w:value="Ongoing"/>
                <w:listItem w:displayText="Completed" w:value="Completed"/>
              </w:dropDownList>
            </w:sdtPr>
            <w:sdtContent>
              <w:p>
                <w:r>
                  <w:t>Completed</w:t>
                </w:r>
              </w:p>
            </w:sdtContent>
          </w:sdt>
          <w:p>
            <w:r>
              <w:rPr>
                <w:rFonts w:hint="eastAsia"/>
                <w:lang w:eastAsia="zh-CN"/>
              </w:rPr>
              <w:t>已经结束</w:t>
            </w:r>
          </w:p>
        </w:tc>
        <w:tc>
          <w:tcPr>
            <w:tcW w:w="455" w:type="pct"/>
            <w:tcBorders>
              <w:top w:val="single" w:color="auto" w:sz="4" w:space="0"/>
              <w:left w:val="single" w:color="auto" w:sz="4" w:space="0"/>
              <w:bottom w:val="single" w:color="auto" w:sz="4" w:space="0"/>
              <w:right w:val="single" w:color="auto" w:sz="4" w:space="0"/>
            </w:tcBorders>
          </w:tcPr>
          <w:p>
            <w:r>
              <w:t>I=1</w:t>
            </w:r>
          </w:p>
          <w:p>
            <w:r>
              <w:t>L=1</w:t>
            </w:r>
          </w:p>
          <w:p>
            <w:r>
              <w:rPr>
                <w:rFonts w:hint="eastAsia"/>
              </w:rPr>
              <w:t>Low</w:t>
            </w:r>
          </w:p>
        </w:tc>
        <w:tc>
          <w:tcPr>
            <w:tcW w:w="1112" w:type="pct"/>
            <w:tcBorders>
              <w:top w:val="single" w:color="auto" w:sz="4" w:space="0"/>
              <w:left w:val="single" w:color="auto" w:sz="4" w:space="0"/>
              <w:bottom w:val="single" w:color="auto" w:sz="4" w:space="0"/>
              <w:right w:val="single" w:color="auto" w:sz="4" w:space="0"/>
            </w:tcBorders>
          </w:tcPr>
          <w:p>
            <w:r>
              <w:t>The COVID-19 around the world has been declared to be over, and has been downgraded to Category B in China, so it is impossible to have any impact on project activities and local community members.</w:t>
            </w:r>
          </w:p>
          <w:p>
            <w:pPr>
              <w:spacing w:before="40" w:after="40"/>
              <w:rPr>
                <w:lang w:eastAsia="zh-CN"/>
              </w:rPr>
            </w:pPr>
            <w:r>
              <w:rPr>
                <w:rFonts w:hint="eastAsia"/>
                <w:lang w:eastAsia="zh-CN"/>
              </w:rPr>
              <w:t>世界各地已经宣布新冠肺炎结束，中国</w:t>
            </w:r>
            <w:r>
              <w:rPr>
                <w:rFonts w:hint="eastAsia"/>
                <w:lang w:val="en-US" w:eastAsia="zh-CN"/>
              </w:rPr>
              <w:t>的风险</w:t>
            </w:r>
            <w:r>
              <w:rPr>
                <w:rFonts w:hint="eastAsia"/>
                <w:lang w:eastAsia="zh-CN"/>
              </w:rPr>
              <w:t>已降级为B类，因此不可能对项目活动和当地社区成员产生任何影响。</w:t>
            </w:r>
          </w:p>
        </w:tc>
        <w:tc>
          <w:tcPr>
            <w:tcW w:w="505" w:type="pct"/>
            <w:tcBorders>
              <w:top w:val="single" w:color="auto" w:sz="4" w:space="0"/>
              <w:left w:val="single" w:color="auto" w:sz="4" w:space="0"/>
              <w:bottom w:val="single" w:color="auto" w:sz="4" w:space="0"/>
              <w:right w:val="single" w:color="auto" w:sz="4" w:space="0"/>
            </w:tcBorders>
          </w:tcPr>
          <w:p>
            <w:r>
              <w:t xml:space="preserve">Project Manager, National Technical Advisor, Sustainable Forest Management Specialist, Landscape Coordinators, </w:t>
            </w:r>
          </w:p>
          <w:p>
            <w:r>
              <w:t>S</w:t>
            </w:r>
            <w:r>
              <w:rPr>
                <w:rFonts w:hint="eastAsia"/>
              </w:rPr>
              <w:t>ocial</w:t>
            </w:r>
            <w:r>
              <w:t xml:space="preserve"> </w:t>
            </w:r>
            <w:r>
              <w:rPr>
                <w:rFonts w:hint="eastAsia"/>
              </w:rPr>
              <w:t>and</w:t>
            </w:r>
            <w:r>
              <w:t xml:space="preserve"> E</w:t>
            </w:r>
            <w:r>
              <w:rPr>
                <w:rFonts w:hint="eastAsia"/>
              </w:rPr>
              <w:t>nvironmental</w:t>
            </w:r>
            <w:r>
              <w:t xml:space="preserve"> Safeguard Specialist</w:t>
            </w:r>
          </w:p>
          <w:p>
            <w:pPr>
              <w:rPr>
                <w:lang w:eastAsia="zh-CN"/>
              </w:rPr>
            </w:pPr>
            <w:r>
              <w:rPr>
                <w:rFonts w:hint="eastAsia"/>
                <w:lang w:eastAsia="zh-CN"/>
              </w:rPr>
              <w:t>项目经理、国家技术顾问、可持续森林管理专家、景观协调员、性别与社会环境保障专家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7</w:t>
            </w:r>
          </w:p>
        </w:tc>
        <w:tc>
          <w:tcPr>
            <w:tcW w:w="556" w:type="pct"/>
            <w:tcBorders>
              <w:top w:val="single" w:color="auto" w:sz="4" w:space="0"/>
              <w:left w:val="single" w:color="auto" w:sz="4" w:space="0"/>
              <w:bottom w:val="single" w:color="auto" w:sz="4" w:space="0"/>
              <w:right w:val="single" w:color="auto" w:sz="4" w:space="0"/>
            </w:tcBorders>
          </w:tcPr>
          <w:p>
            <w:r>
              <w:t>Social and environmental</w:t>
            </w:r>
          </w:p>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Harmful pesticides and other agricultural chemicals such as insecticides may be used in the forest restoration activities of this project</w:t>
            </w:r>
          </w:p>
          <w:p>
            <w:pPr>
              <w:rPr>
                <w:lang w:eastAsia="zh-CN"/>
              </w:rPr>
            </w:pPr>
            <w:r>
              <w:rPr>
                <w:rFonts w:hint="eastAsia"/>
                <w:lang w:eastAsia="zh-CN"/>
              </w:rPr>
              <w:t>本项目的森林恢复活动中可能使用有害农药和杀虫剂等其他农用化学品</w:t>
            </w:r>
          </w:p>
        </w:tc>
        <w:tc>
          <w:tcPr>
            <w:tcW w:w="557" w:type="pct"/>
            <w:tcBorders>
              <w:top w:val="single" w:color="auto" w:sz="4" w:space="0"/>
              <w:left w:val="single" w:color="auto" w:sz="4" w:space="0"/>
              <w:bottom w:val="single" w:color="auto" w:sz="4" w:space="0"/>
              <w:right w:val="single" w:color="auto" w:sz="4" w:space="0"/>
            </w:tcBorders>
          </w:tcPr>
          <w:p>
            <w:r>
              <w:t>Workers involved in field restoration activities might be exposed to hazards in their use and handling of pesticides and other agrochemical inputs without adequate personal protective equipment, training and safeguards, or which might be subject to international bans.</w:t>
            </w:r>
          </w:p>
          <w:p>
            <w:pPr>
              <w:rPr>
                <w:lang w:eastAsia="zh-CN"/>
              </w:rPr>
            </w:pPr>
            <w:r>
              <w:rPr>
                <w:rFonts w:hint="eastAsia"/>
                <w:lang w:eastAsia="zh-CN"/>
              </w:rPr>
              <w:t>风险 7： 参与田间恢复活动的工人在使用和处理杀虫剂及其他农业化学投入品时，如果没有足够的个人防护设备、培训和保障措施，或可能受到国际禁令的限制，可能会面临危险。</w:t>
            </w:r>
          </w:p>
        </w:tc>
        <w:tc>
          <w:tcPr>
            <w:tcW w:w="656" w:type="pct"/>
            <w:tcBorders>
              <w:top w:val="single" w:color="auto" w:sz="4" w:space="0"/>
              <w:left w:val="single" w:color="auto" w:sz="4" w:space="0"/>
              <w:bottom w:val="single" w:color="auto" w:sz="4" w:space="0"/>
              <w:right w:val="single" w:color="auto" w:sz="4" w:space="0"/>
            </w:tcBorders>
          </w:tcPr>
          <w:p>
            <w:r>
              <w:t>Pesticides are likely to be used in some of the restoration activities, e.g., clearing invasive alien species. Obsolete pesticide stocks are common in many countries. And workers could be ill-informed about the hazards of pesticides and correct health and safety procedures.</w:t>
            </w:r>
          </w:p>
          <w:p>
            <w:pPr>
              <w:rPr>
                <w:lang w:eastAsia="zh-CN"/>
              </w:rPr>
            </w:pPr>
            <w:r>
              <w:rPr>
                <w:rFonts w:hint="eastAsia"/>
                <w:lang w:eastAsia="zh-CN"/>
              </w:rPr>
              <w:t>农药可能用于一些恢复活动，例如清除外来入侵物种。废弃农药库存在许多国家很常见。工人可能对杀虫剂的危害以及正确的健康和安全程序知之甚少。</w:t>
            </w:r>
          </w:p>
        </w:tc>
        <w:tc>
          <w:tcPr>
            <w:tcW w:w="353" w:type="pct"/>
            <w:tcBorders>
              <w:top w:val="single" w:color="auto" w:sz="4" w:space="0"/>
              <w:left w:val="single" w:color="auto" w:sz="4" w:space="0"/>
              <w:bottom w:val="single" w:color="auto" w:sz="4" w:space="0"/>
              <w:right w:val="single" w:color="auto" w:sz="4" w:space="0"/>
            </w:tcBorders>
          </w:tcPr>
          <w:sdt>
            <w:sdtPr>
              <w:id w:val="-670110311"/>
              <w:placeholder>
                <w:docPart w:val="6659506902BE40C28EC26151466E3ACA"/>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t>09/01/2023 to 31/12/2025</w:t>
            </w:r>
          </w:p>
        </w:tc>
        <w:tc>
          <w:tcPr>
            <w:tcW w:w="455" w:type="pct"/>
            <w:tcBorders>
              <w:top w:val="single" w:color="auto" w:sz="4" w:space="0"/>
              <w:left w:val="single" w:color="auto" w:sz="4" w:space="0"/>
              <w:bottom w:val="single" w:color="auto" w:sz="4" w:space="0"/>
              <w:right w:val="single" w:color="auto" w:sz="4" w:space="0"/>
            </w:tcBorders>
          </w:tcPr>
          <w:p>
            <w:r>
              <w:t>I=3</w:t>
            </w:r>
          </w:p>
          <w:p>
            <w:r>
              <w:t>L=3</w:t>
            </w:r>
          </w:p>
          <w:p>
            <w:r>
              <w:t>Moderate</w:t>
            </w:r>
          </w:p>
        </w:tc>
        <w:tc>
          <w:tcPr>
            <w:tcW w:w="1112" w:type="pct"/>
            <w:tcBorders>
              <w:top w:val="single" w:color="auto" w:sz="4" w:space="0"/>
              <w:left w:val="single" w:color="auto" w:sz="4" w:space="0"/>
              <w:bottom w:val="single" w:color="auto" w:sz="4" w:space="0"/>
              <w:right w:val="single" w:color="auto" w:sz="4" w:space="0"/>
            </w:tcBorders>
          </w:tcPr>
          <w:p>
            <w:r>
              <w:t xml:space="preserve">Through communication and investigation with local residents </w:t>
            </w:r>
            <w:r>
              <w:rPr>
                <w:rFonts w:hint="eastAsia"/>
              </w:rPr>
              <w:t>in</w:t>
            </w:r>
            <w:r>
              <w:t xml:space="preserve"> </w:t>
            </w:r>
            <w:r>
              <w:rPr>
                <w:rFonts w:hint="eastAsia"/>
              </w:rPr>
              <w:t>five</w:t>
            </w:r>
            <w:r>
              <w:t xml:space="preserve"> target </w:t>
            </w:r>
            <w:r>
              <w:rPr>
                <w:rFonts w:hint="eastAsia"/>
              </w:rPr>
              <w:t>landscape</w:t>
            </w:r>
            <w:r>
              <w:t xml:space="preserve"> </w:t>
            </w:r>
            <w:r>
              <w:rPr>
                <w:rFonts w:hint="eastAsia"/>
              </w:rPr>
              <w:t>restoration</w:t>
            </w:r>
            <w:r>
              <w:t xml:space="preserve"> </w:t>
            </w:r>
            <w:r>
              <w:rPr>
                <w:rFonts w:hint="eastAsia"/>
              </w:rPr>
              <w:t>areas</w:t>
            </w:r>
            <w:r>
              <w:t>, it was found that workers involved in the application of agricultural and forestry chemical agents undergo rigorous training and are equipped with appropriate protective equipment.</w:t>
            </w:r>
          </w:p>
          <w:p>
            <w:pPr>
              <w:rPr>
                <w:lang w:eastAsia="zh-CN"/>
              </w:rPr>
            </w:pPr>
            <w:r>
              <w:rPr>
                <w:rFonts w:hint="eastAsia"/>
                <w:lang w:eastAsia="zh-CN"/>
              </w:rPr>
              <w:t>通过与五个景观区当地居民沟通和调查，发现参与农林化学制剂应用的工人接受了严格的培训，并配备了适当的防护设备。</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Landscape Coordinators, Social and Environmental Safeguard Specialist.</w:t>
            </w:r>
          </w:p>
          <w:p>
            <w:pPr>
              <w:rPr>
                <w:lang w:eastAsia="zh-CN"/>
              </w:rPr>
            </w:pPr>
            <w:r>
              <w:rPr>
                <w:rFonts w:hint="eastAsia"/>
                <w:lang w:eastAsia="zh-CN"/>
              </w:rPr>
              <w:t>项目经理、国家技术顾问、可持续森林管理专家、景观协调员、性别与社会环境保障专家。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8</w:t>
            </w:r>
          </w:p>
        </w:tc>
        <w:tc>
          <w:tcPr>
            <w:tcW w:w="556" w:type="pct"/>
            <w:tcBorders>
              <w:top w:val="single" w:color="auto" w:sz="4" w:space="0"/>
              <w:left w:val="single" w:color="auto" w:sz="4" w:space="0"/>
              <w:bottom w:val="single" w:color="auto" w:sz="4" w:space="0"/>
              <w:right w:val="single" w:color="auto" w:sz="4" w:space="0"/>
            </w:tcBorders>
          </w:tcPr>
          <w:p>
            <w:r>
              <w:t>Social and environmental</w:t>
            </w:r>
          </w:p>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Unsafe use and handling of pesticides and associated hazardous wastes generated (e.g., used containers) may release harmful pollutants to the environment.</w:t>
            </w:r>
          </w:p>
          <w:p>
            <w:pPr>
              <w:rPr>
                <w:lang w:eastAsia="zh-CN"/>
              </w:rPr>
            </w:pPr>
            <w:r>
              <w:rPr>
                <w:rFonts w:hint="eastAsia"/>
                <w:lang w:eastAsia="zh-CN"/>
              </w:rPr>
              <w:t>杀虫剂和产生的相关危险废物（如用过的容器）的不安全使用和处理可能会向环境释放有害污染物。</w:t>
            </w:r>
          </w:p>
        </w:tc>
        <w:tc>
          <w:tcPr>
            <w:tcW w:w="557" w:type="pct"/>
            <w:tcBorders>
              <w:top w:val="single" w:color="auto" w:sz="4" w:space="0"/>
              <w:left w:val="single" w:color="auto" w:sz="4" w:space="0"/>
              <w:bottom w:val="single" w:color="auto" w:sz="4" w:space="0"/>
              <w:right w:val="single" w:color="auto" w:sz="4" w:space="0"/>
            </w:tcBorders>
          </w:tcPr>
          <w:p>
            <w:r>
              <w:t>Project interventions involving pesticides and other agrochemical inputs may result in release of pollutants to the environment and in the generation of hazardous waste.</w:t>
            </w:r>
          </w:p>
          <w:p>
            <w:pPr>
              <w:rPr>
                <w:lang w:eastAsia="zh-CN"/>
              </w:rPr>
            </w:pPr>
            <w:r>
              <w:rPr>
                <w:rFonts w:hint="eastAsia"/>
                <w:lang w:eastAsia="zh-CN"/>
              </w:rPr>
              <w:t>风险8：涉及杀虫剂和其他农用化学品投入的项目干预措施可能会导致污染物排放到环境中并产生危险废物。</w:t>
            </w:r>
          </w:p>
        </w:tc>
        <w:tc>
          <w:tcPr>
            <w:tcW w:w="656" w:type="pct"/>
            <w:tcBorders>
              <w:top w:val="single" w:color="auto" w:sz="4" w:space="0"/>
              <w:left w:val="single" w:color="auto" w:sz="4" w:space="0"/>
              <w:bottom w:val="single" w:color="auto" w:sz="4" w:space="0"/>
              <w:right w:val="single" w:color="auto" w:sz="4" w:space="0"/>
            </w:tcBorders>
          </w:tcPr>
          <w:p>
            <w:r>
              <w:t>N</w:t>
            </w:r>
            <w:r>
              <w:rPr>
                <w:rFonts w:hint="eastAsia"/>
              </w:rPr>
              <w:t>/</w:t>
            </w:r>
            <w:r>
              <w:t>A</w:t>
            </w:r>
          </w:p>
          <w:p>
            <w:pPr>
              <w:rPr>
                <w:lang w:eastAsia="zh-CN"/>
              </w:rPr>
            </w:pPr>
            <w:r>
              <w:rPr>
                <w:rFonts w:hint="eastAsia"/>
                <w:lang w:eastAsia="zh-CN"/>
              </w:rPr>
              <w:t>不适用</w:t>
            </w:r>
          </w:p>
        </w:tc>
        <w:tc>
          <w:tcPr>
            <w:tcW w:w="353" w:type="pct"/>
            <w:tcBorders>
              <w:top w:val="single" w:color="auto" w:sz="4" w:space="0"/>
              <w:left w:val="single" w:color="auto" w:sz="4" w:space="0"/>
              <w:bottom w:val="single" w:color="auto" w:sz="4" w:space="0"/>
              <w:right w:val="single" w:color="auto" w:sz="4" w:space="0"/>
            </w:tcBorders>
          </w:tcPr>
          <w:sdt>
            <w:sdtPr>
              <w:id w:val="1609082295"/>
              <w:placeholder>
                <w:docPart w:val="2BEC1A8B0707419B9D8B8A6EA56E2C04"/>
              </w:placeholder>
              <w:dropDownList>
                <w:listItem w:value="Choose an item."/>
                <w:listItem w:displayText="Not started" w:value="Not started"/>
                <w:listItem w:displayText="Ongoing" w:value="Ongoing"/>
                <w:listItem w:displayText="Completed" w:value="Completed"/>
              </w:dropDownList>
            </w:sdtPr>
            <w:sdtContent>
              <w:p>
                <w:r>
                  <w:t>Completed</w:t>
                </w:r>
              </w:p>
            </w:sdtContent>
          </w:sdt>
          <w:p>
            <w:r>
              <w:t>09/01/2023 to 31/12/2023</w:t>
            </w:r>
          </w:p>
        </w:tc>
        <w:tc>
          <w:tcPr>
            <w:tcW w:w="455" w:type="pct"/>
            <w:tcBorders>
              <w:top w:val="single" w:color="auto" w:sz="4" w:space="0"/>
              <w:left w:val="single" w:color="auto" w:sz="4" w:space="0"/>
              <w:bottom w:val="single" w:color="auto" w:sz="4" w:space="0"/>
              <w:right w:val="single" w:color="auto" w:sz="4" w:space="0"/>
            </w:tcBorders>
          </w:tcPr>
          <w:p>
            <w:r>
              <w:t>I=2</w:t>
            </w:r>
          </w:p>
          <w:p>
            <w:r>
              <w:t>L=2</w:t>
            </w:r>
          </w:p>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5"/>
              </w:numPr>
            </w:pPr>
            <w:r>
              <w:t xml:space="preserve">Chemical hazard assessments </w:t>
            </w:r>
            <w:r>
              <w:rPr>
                <w:rFonts w:hint="eastAsia"/>
              </w:rPr>
              <w:t>have</w:t>
            </w:r>
            <w:r>
              <w:t xml:space="preserve"> been carried out as part of developing FLR Demonstration and Management Plans for each intervention supported by the project.</w:t>
            </w:r>
          </w:p>
          <w:p>
            <w:pPr>
              <w:pStyle w:val="37"/>
              <w:numPr>
                <w:ilvl w:val="0"/>
                <w:numId w:val="5"/>
              </w:numPr>
            </w:pPr>
            <w:r>
              <w:t>The project is conducting an investigation in five landscape areas regarding the use of fertilizers and pesticides, as well as their potential environmental impacts.</w:t>
            </w:r>
          </w:p>
          <w:p>
            <w:pPr>
              <w:rPr>
                <w:lang w:eastAsia="zh-CN"/>
              </w:rPr>
            </w:pPr>
            <w:r>
              <w:rPr>
                <w:rFonts w:hint="eastAsia"/>
                <w:lang w:eastAsia="zh-CN"/>
              </w:rPr>
              <w:t>采取了两项行动：</w:t>
            </w:r>
          </w:p>
          <w:p>
            <w:pPr>
              <w:rPr>
                <w:lang w:eastAsia="zh-CN"/>
              </w:rPr>
            </w:pPr>
            <w:r>
              <w:rPr>
                <w:rFonts w:hint="eastAsia"/>
                <w:lang w:eastAsia="zh-CN"/>
              </w:rPr>
              <w:t>•化学品危害评估是为项目支持的每项干预措施制定</w:t>
            </w:r>
            <w:r>
              <w:rPr>
                <w:lang w:eastAsia="zh-CN"/>
              </w:rPr>
              <w:t>FLR</w:t>
            </w:r>
            <w:r>
              <w:rPr>
                <w:rFonts w:hint="eastAsia"/>
                <w:lang w:eastAsia="zh-CN"/>
              </w:rPr>
              <w:t>示范和管理计划的一部分。</w:t>
            </w:r>
          </w:p>
          <w:p>
            <w:pPr>
              <w:rPr>
                <w:lang w:eastAsia="zh-CN"/>
              </w:rPr>
            </w:pPr>
          </w:p>
          <w:p>
            <w:pPr>
              <w:rPr>
                <w:lang w:eastAsia="zh-CN"/>
              </w:rPr>
            </w:pPr>
            <w:r>
              <w:rPr>
                <w:rFonts w:hint="eastAsia"/>
                <w:lang w:eastAsia="zh-CN"/>
              </w:rPr>
              <w:t>•该项目正在五个景观区就化肥和农药的使用及其潜在的环境影响进行调查。</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Gender and Safeguard Specialist</w:t>
            </w:r>
          </w:p>
          <w:p>
            <w:pPr>
              <w:rPr>
                <w:lang w:eastAsia="zh-CN"/>
              </w:rPr>
            </w:pPr>
            <w:r>
              <w:rPr>
                <w:rFonts w:hint="eastAsia"/>
                <w:lang w:eastAsia="zh-CN"/>
              </w:rPr>
              <w:t>项目经理、国家技术顾问、可持续森林管理专家、性别与社会环境保障专家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9</w:t>
            </w:r>
          </w:p>
          <w:p/>
          <w:p/>
        </w:tc>
        <w:tc>
          <w:tcPr>
            <w:tcW w:w="556" w:type="pct"/>
            <w:tcBorders>
              <w:top w:val="single" w:color="auto" w:sz="4" w:space="0"/>
              <w:left w:val="single" w:color="auto" w:sz="4" w:space="0"/>
              <w:bottom w:val="single" w:color="auto" w:sz="4" w:space="0"/>
              <w:right w:val="single" w:color="auto" w:sz="4" w:space="0"/>
            </w:tcBorders>
          </w:tcPr>
          <w:p>
            <w:r>
              <w:t>Social and environmental</w:t>
            </w:r>
          </w:p>
          <w:p>
            <w:r>
              <w:rPr>
                <w:rFonts w:hint="eastAsia"/>
                <w:lang w:eastAsia="zh-CN"/>
              </w:rPr>
              <w:t>社会与环境</w:t>
            </w:r>
          </w:p>
        </w:tc>
        <w:tc>
          <w:tcPr>
            <w:tcW w:w="607" w:type="pct"/>
            <w:tcBorders>
              <w:top w:val="single" w:color="auto" w:sz="4" w:space="0"/>
              <w:left w:val="single" w:color="auto" w:sz="4" w:space="0"/>
              <w:bottom w:val="single" w:color="auto" w:sz="4" w:space="0"/>
              <w:right w:val="single" w:color="auto" w:sz="4" w:space="0"/>
            </w:tcBorders>
          </w:tcPr>
          <w:p>
            <w:r>
              <w:t>The activities implemented with the complementary funding provided by NFGA, provincial forestry bureaus, and the private sector may not be</w:t>
            </w:r>
          </w:p>
          <w:p>
            <w:r>
              <w:t>fully consistent with U the relevant social and environmental standards and principles of UNDP</w:t>
            </w:r>
          </w:p>
          <w:p>
            <w:pPr>
              <w:rPr>
                <w:lang w:eastAsia="zh-CN"/>
              </w:rPr>
            </w:pPr>
            <w:r>
              <w:rPr>
                <w:rFonts w:hint="eastAsia"/>
                <w:lang w:eastAsia="zh-CN"/>
              </w:rPr>
              <w:t>利用国家林草局、省级林业主管部门和私营部门提供的补充资金开展的活动可能不会完全符合联合国开发计划署的相关社会和环境标准和原则</w:t>
            </w:r>
          </w:p>
        </w:tc>
        <w:tc>
          <w:tcPr>
            <w:tcW w:w="557" w:type="pct"/>
            <w:tcBorders>
              <w:top w:val="single" w:color="auto" w:sz="4" w:space="0"/>
              <w:left w:val="single" w:color="auto" w:sz="4" w:space="0"/>
              <w:bottom w:val="single" w:color="auto" w:sz="4" w:space="0"/>
              <w:right w:val="single" w:color="auto" w:sz="4" w:space="0"/>
            </w:tcBorders>
          </w:tcPr>
          <w:p>
            <w:r>
              <w:t>NFGA, and the provincial</w:t>
            </w:r>
          </w:p>
          <w:p>
            <w:r>
              <w:t>forestry bureaus will implement the</w:t>
            </w:r>
          </w:p>
          <w:p>
            <w:r>
              <w:t>project through USD 26.98 million in</w:t>
            </w:r>
          </w:p>
          <w:p>
            <w:r>
              <w:t>recipient government co-financing,</w:t>
            </w:r>
          </w:p>
          <w:p>
            <w:r>
              <w:t>and private sector partners will be</w:t>
            </w:r>
          </w:p>
          <w:p>
            <w:r>
              <w:t>engaged for delivery of Output 3.2.</w:t>
            </w:r>
          </w:p>
          <w:p>
            <w:r>
              <w:t>Co-financed activities may not be</w:t>
            </w:r>
          </w:p>
          <w:p>
            <w:r>
              <w:t>fully consistent with UNDP SES,</w:t>
            </w:r>
          </w:p>
          <w:p>
            <w:r>
              <w:t>potentially triggering social and</w:t>
            </w:r>
          </w:p>
          <w:p>
            <w:r>
              <w:t>environmental risks without</w:t>
            </w:r>
          </w:p>
          <w:p>
            <w:r>
              <w:t>adequate mitigation measures in</w:t>
            </w:r>
          </w:p>
          <w:p>
            <w:r>
              <w:t>place.</w:t>
            </w:r>
          </w:p>
          <w:p>
            <w:pPr>
              <w:rPr>
                <w:lang w:eastAsia="zh-CN"/>
              </w:rPr>
            </w:pPr>
            <w:r>
              <w:rPr>
                <w:rFonts w:hint="eastAsia"/>
                <w:lang w:eastAsia="zh-CN"/>
              </w:rPr>
              <w:t>风险9： 国家林草局以及各省林业主管部将通过受援国政府共同出资 2,698 万美元来实施本项目，并将聘请私营部门合作伙伴来实现成果3.2。共同出资的活动可能不完全符合联合国开发计划署的社会和环境标准，如果没有适当的缓解措施，可能会引发社会和环境风险。</w:t>
            </w:r>
          </w:p>
        </w:tc>
        <w:tc>
          <w:tcPr>
            <w:tcW w:w="656" w:type="pct"/>
            <w:tcBorders>
              <w:top w:val="single" w:color="auto" w:sz="4" w:space="0"/>
              <w:left w:val="single" w:color="auto" w:sz="4" w:space="0"/>
              <w:bottom w:val="single" w:color="auto" w:sz="4" w:space="0"/>
              <w:right w:val="single" w:color="auto" w:sz="4" w:space="0"/>
            </w:tcBorders>
          </w:tcPr>
          <w:p>
            <w:r>
              <w:t>This may trigger social and environmental risks, including community opposition, environmental degradation, and other issues, thereby adversely affecting the project</w:t>
            </w:r>
          </w:p>
          <w:p>
            <w:pPr>
              <w:rPr>
                <w:lang w:eastAsia="zh-CN"/>
              </w:rPr>
            </w:pPr>
            <w:r>
              <w:rPr>
                <w:rFonts w:hint="eastAsia"/>
                <w:lang w:eastAsia="zh-CN"/>
              </w:rPr>
              <w:t>这可能引发社会和环境风险，包括社区反对、环境退化和其他问题，从而对项目产生不利影响</w:t>
            </w:r>
          </w:p>
        </w:tc>
        <w:tc>
          <w:tcPr>
            <w:tcW w:w="353" w:type="pct"/>
            <w:tcBorders>
              <w:top w:val="single" w:color="auto" w:sz="4" w:space="0"/>
              <w:left w:val="single" w:color="auto" w:sz="4" w:space="0"/>
              <w:bottom w:val="single" w:color="auto" w:sz="4" w:space="0"/>
              <w:right w:val="single" w:color="auto" w:sz="4" w:space="0"/>
            </w:tcBorders>
          </w:tcPr>
          <w:sdt>
            <w:sdtPr>
              <w:id w:val="1031693644"/>
              <w:placeholder>
                <w:docPart w:val="0A5EA54E7E54495FB28461D659795976"/>
              </w:placeholder>
              <w:dropDownList>
                <w:listItem w:value="Choose an item."/>
                <w:listItem w:displayText="Not started" w:value="Not started"/>
                <w:listItem w:displayText="Ongoing" w:value="Ongoing"/>
                <w:listItem w:displayText="Completed" w:value="Completed"/>
              </w:dropDownList>
            </w:sdtPr>
            <w:sdtContent>
              <w:p>
                <w:r>
                  <w:t>Ongoing</w:t>
                </w:r>
              </w:p>
            </w:sdtContent>
          </w:sdt>
          <w:p>
            <w:r>
              <w:t>09/01/2023 to 31/12/2025</w:t>
            </w:r>
          </w:p>
        </w:tc>
        <w:tc>
          <w:tcPr>
            <w:tcW w:w="455" w:type="pct"/>
            <w:tcBorders>
              <w:top w:val="single" w:color="auto" w:sz="4" w:space="0"/>
              <w:left w:val="single" w:color="auto" w:sz="4" w:space="0"/>
              <w:bottom w:val="single" w:color="auto" w:sz="4" w:space="0"/>
              <w:right w:val="single" w:color="auto" w:sz="4" w:space="0"/>
            </w:tcBorders>
          </w:tcPr>
          <w:p>
            <w:r>
              <w:t>I = 3</w:t>
            </w:r>
          </w:p>
          <w:p>
            <w:r>
              <w:t>L = 2</w:t>
            </w:r>
          </w:p>
        </w:tc>
        <w:tc>
          <w:tcPr>
            <w:tcW w:w="1112" w:type="pct"/>
            <w:tcBorders>
              <w:top w:val="single" w:color="auto" w:sz="4" w:space="0"/>
              <w:left w:val="single" w:color="auto" w:sz="4" w:space="0"/>
              <w:bottom w:val="single" w:color="auto" w:sz="4" w:space="0"/>
              <w:right w:val="single" w:color="auto" w:sz="4" w:space="0"/>
            </w:tcBorders>
          </w:tcPr>
          <w:p>
            <w:r>
              <w:t>On September 26, 2023, Gender and Safegurad Specialist conducted specialized training and discussion activities for multiple stakeholders including NFGA, provincial forestry bureaus, and the private sector, providing a detailed interpretation of social and environmental standards of the UNDP.</w:t>
            </w:r>
          </w:p>
          <w:p>
            <w:pPr>
              <w:rPr>
                <w:lang w:eastAsia="zh-CN"/>
              </w:rPr>
            </w:pPr>
            <w:r>
              <w:rPr>
                <w:rFonts w:hint="eastAsia"/>
                <w:lang w:eastAsia="zh-CN"/>
              </w:rPr>
              <w:t>2023年9月26日，性别与社会环境保障专家为包括国家林草局、省级林业主管部门和私营部门在内的多利益相关方进行了专门的培训和讨论活动，详细解释了联合国开发计划署的社会和环境的标准。</w:t>
            </w:r>
          </w:p>
        </w:tc>
        <w:tc>
          <w:tcPr>
            <w:tcW w:w="505" w:type="pct"/>
            <w:tcBorders>
              <w:top w:val="single" w:color="auto" w:sz="4" w:space="0"/>
              <w:left w:val="single" w:color="auto" w:sz="4" w:space="0"/>
              <w:bottom w:val="single" w:color="auto" w:sz="4" w:space="0"/>
              <w:right w:val="single" w:color="auto" w:sz="4" w:space="0"/>
            </w:tcBorders>
          </w:tcPr>
          <w:p>
            <w:r>
              <w:rPr>
                <w:rFonts w:hint="eastAsia"/>
                <w:lang w:eastAsia="zh-CN"/>
              </w:rPr>
              <w:t>Gender</w:t>
            </w:r>
            <w:r>
              <w:t xml:space="preserve"> and Safeguard Specialist</w:t>
            </w:r>
          </w:p>
          <w:p>
            <w:r>
              <w:rPr>
                <w:rFonts w:hint="eastAsia"/>
                <w:lang w:eastAsia="zh-CN"/>
              </w:rPr>
              <w:t>性别</w:t>
            </w:r>
            <w:r>
              <w:rPr>
                <w:rFonts w:hint="eastAsia"/>
              </w:rPr>
              <w:t>和</w:t>
            </w:r>
            <w:r>
              <w:rPr>
                <w:rFonts w:hint="eastAsia"/>
                <w:lang w:eastAsia="zh-CN"/>
              </w:rPr>
              <w:t>社会</w:t>
            </w:r>
            <w:r>
              <w:rPr>
                <w:rFonts w:hint="eastAsia"/>
              </w:rPr>
              <w:t>环境保障专家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t>10</w:t>
            </w:r>
          </w:p>
        </w:tc>
        <w:tc>
          <w:tcPr>
            <w:tcW w:w="556" w:type="pct"/>
            <w:tcBorders>
              <w:top w:val="single" w:color="auto" w:sz="4" w:space="0"/>
              <w:left w:val="single" w:color="auto" w:sz="4" w:space="0"/>
              <w:bottom w:val="single" w:color="auto" w:sz="4" w:space="0"/>
              <w:right w:val="single" w:color="auto" w:sz="4" w:space="0"/>
            </w:tcBorders>
          </w:tcPr>
          <w:p>
            <w:r>
              <w:t>Operational, Strategic</w:t>
            </w:r>
          </w:p>
          <w:p>
            <w:r>
              <w:rPr>
                <w:rFonts w:hint="eastAsia"/>
                <w:lang w:eastAsia="zh-CN"/>
              </w:rPr>
              <w:t>运营策略</w:t>
            </w:r>
          </w:p>
          <w:p/>
        </w:tc>
        <w:tc>
          <w:tcPr>
            <w:tcW w:w="607" w:type="pct"/>
            <w:tcBorders>
              <w:top w:val="single" w:color="auto" w:sz="4" w:space="0"/>
              <w:left w:val="single" w:color="auto" w:sz="4" w:space="0"/>
              <w:bottom w:val="single" w:color="auto" w:sz="4" w:space="0"/>
              <w:right w:val="single" w:color="auto" w:sz="4" w:space="0"/>
            </w:tcBorders>
          </w:tcPr>
          <w:p>
            <w:r>
              <w:t>L</w:t>
            </w:r>
            <w:r>
              <w:rPr>
                <w:rFonts w:hint="eastAsia"/>
              </w:rPr>
              <w:t>ocal</w:t>
            </w:r>
            <w:r>
              <w:t xml:space="preserve"> </w:t>
            </w:r>
            <w:r>
              <w:rPr>
                <w:rFonts w:hint="eastAsia"/>
              </w:rPr>
              <w:t>people</w:t>
            </w:r>
            <w:r>
              <w:t xml:space="preserve"> </w:t>
            </w:r>
            <w:r>
              <w:rPr>
                <w:rFonts w:hint="eastAsia"/>
              </w:rPr>
              <w:t>are</w:t>
            </w:r>
            <w:r>
              <w:t xml:space="preserve"> conservative and unwilling to accept the concept and </w:t>
            </w:r>
            <w:r>
              <w:rPr>
                <w:rFonts w:hint="eastAsia"/>
              </w:rPr>
              <w:t>approaches</w:t>
            </w:r>
            <w:r>
              <w:t xml:space="preserve"> of project implementation</w:t>
            </w:r>
          </w:p>
          <w:p>
            <w:pPr>
              <w:rPr>
                <w:lang w:eastAsia="zh-CN"/>
              </w:rPr>
            </w:pPr>
            <w:r>
              <w:rPr>
                <w:rFonts w:hint="eastAsia"/>
                <w:lang w:eastAsia="zh-CN"/>
              </w:rPr>
              <w:t>当地人比较保守，不愿意接受项目实施的理念和方法</w:t>
            </w:r>
          </w:p>
        </w:tc>
        <w:tc>
          <w:tcPr>
            <w:tcW w:w="557" w:type="pct"/>
            <w:tcBorders>
              <w:top w:val="single" w:color="auto" w:sz="4" w:space="0"/>
              <w:left w:val="single" w:color="auto" w:sz="4" w:space="0"/>
              <w:bottom w:val="single" w:color="auto" w:sz="4" w:space="0"/>
              <w:right w:val="single" w:color="auto" w:sz="4" w:space="0"/>
            </w:tcBorders>
          </w:tcPr>
          <w:p>
            <w:r>
              <w:t>Local communities resistant to changing their approaches and practices, not seeing the value in engaging with approaches promoted by the project</w:t>
            </w:r>
          </w:p>
          <w:p>
            <w:pPr>
              <w:rPr>
                <w:lang w:eastAsia="zh-CN"/>
              </w:rPr>
            </w:pPr>
            <w:r>
              <w:rPr>
                <w:rFonts w:hint="eastAsia"/>
                <w:lang w:eastAsia="zh-CN"/>
              </w:rPr>
              <w:t>当地社区抵制改变他们的方法和做法，没有看到参与项目推广的方法的价值</w:t>
            </w:r>
          </w:p>
        </w:tc>
        <w:tc>
          <w:tcPr>
            <w:tcW w:w="656" w:type="pct"/>
            <w:tcBorders>
              <w:top w:val="single" w:color="auto" w:sz="4" w:space="0"/>
              <w:left w:val="single" w:color="auto" w:sz="4" w:space="0"/>
              <w:bottom w:val="single" w:color="auto" w:sz="4" w:space="0"/>
              <w:right w:val="single" w:color="auto" w:sz="4" w:space="0"/>
            </w:tcBorders>
          </w:tcPr>
          <w:p>
            <w:r>
              <w:t>The primary beneficiaries of the project are the local communities in the target landscapes. Lack of genuine participation could impact the effectiveness and sustainability of the project.</w:t>
            </w:r>
          </w:p>
          <w:p>
            <w:pPr>
              <w:rPr>
                <w:lang w:eastAsia="zh-CN"/>
              </w:rPr>
            </w:pPr>
            <w:r>
              <w:rPr>
                <w:rFonts w:hint="eastAsia"/>
                <w:lang w:eastAsia="zh-CN"/>
              </w:rPr>
              <w:t>该项目的主要受益者是景观区的当地社区。缺乏真正的参与可能会影响项目的有效性和可持续性。</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31/12/2024</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p/>
        </w:tc>
        <w:tc>
          <w:tcPr>
            <w:tcW w:w="1112" w:type="pct"/>
            <w:tcBorders>
              <w:top w:val="single" w:color="auto" w:sz="4" w:space="0"/>
              <w:left w:val="single" w:color="auto" w:sz="4" w:space="0"/>
              <w:bottom w:val="single" w:color="auto" w:sz="4" w:space="0"/>
              <w:right w:val="single" w:color="auto" w:sz="4" w:space="0"/>
            </w:tcBorders>
          </w:tcPr>
          <w:p>
            <w:r>
              <w:t>Sustainable Forest Management Specialist conducted systematic training for local community representatives from the five landscape restoration areas, aligning with the project's principles and primary objectives. This training, coupled with insights into community development, aimed to help them realize the potential benefits the project could bring to the local community and its residents, thereby mobilizing their enthusiasm for project participation.</w:t>
            </w:r>
          </w:p>
          <w:p>
            <w:pPr>
              <w:rPr>
                <w:lang w:eastAsia="zh-CN"/>
              </w:rPr>
            </w:pPr>
            <w:r>
              <w:rPr>
                <w:rFonts w:hint="eastAsia"/>
                <w:lang w:eastAsia="zh-CN"/>
              </w:rPr>
              <w:t>可持续森林管理专家根据项目的原则和主要目标，对来自五个景观恢复区的当地社区代表进行了系统培训。这种培训，再加上对社区发展的见解，旨在帮助他们认识到该项目可能给当地社区及其居民带来的潜在好处，从而调动他们参与项目的热情。</w:t>
            </w:r>
          </w:p>
          <w:p>
            <w:pPr>
              <w:rPr>
                <w:lang w:eastAsia="zh-CN"/>
              </w:rPr>
            </w:pP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w:t>
            </w:r>
          </w:p>
          <w:p>
            <w:pPr>
              <w:rPr>
                <w:lang w:eastAsia="zh-CN"/>
              </w:rPr>
            </w:pPr>
            <w:r>
              <w:rPr>
                <w:rFonts w:hint="eastAsia"/>
                <w:lang w:eastAsia="zh-CN"/>
              </w:rPr>
              <w:t>项目经理，国家技术顾问，可持续森林管理专家，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t>11</w:t>
            </w:r>
          </w:p>
        </w:tc>
        <w:tc>
          <w:tcPr>
            <w:tcW w:w="556" w:type="pct"/>
            <w:tcBorders>
              <w:top w:val="single" w:color="auto" w:sz="4" w:space="0"/>
              <w:left w:val="single" w:color="auto" w:sz="4" w:space="0"/>
              <w:bottom w:val="single" w:color="auto" w:sz="4" w:space="0"/>
              <w:right w:val="single" w:color="auto" w:sz="4" w:space="0"/>
            </w:tcBorders>
          </w:tcPr>
          <w:p>
            <w:r>
              <w:t>Operational</w:t>
            </w:r>
          </w:p>
          <w:p>
            <w:r>
              <w:rPr>
                <w:rFonts w:hint="eastAsia"/>
                <w:lang w:eastAsia="zh-CN"/>
              </w:rPr>
              <w:t>运营</w:t>
            </w:r>
          </w:p>
        </w:tc>
        <w:tc>
          <w:tcPr>
            <w:tcW w:w="607" w:type="pct"/>
            <w:tcBorders>
              <w:top w:val="single" w:color="auto" w:sz="4" w:space="0"/>
              <w:left w:val="single" w:color="auto" w:sz="4" w:space="0"/>
              <w:bottom w:val="single" w:color="auto" w:sz="4" w:space="0"/>
              <w:right w:val="single" w:color="auto" w:sz="4" w:space="0"/>
            </w:tcBorders>
          </w:tcPr>
          <w:p>
            <w:r>
              <w:t>L</w:t>
            </w:r>
            <w:r>
              <w:rPr>
                <w:rFonts w:hint="eastAsia"/>
              </w:rPr>
              <w:t>ocal</w:t>
            </w:r>
            <w:r>
              <w:t xml:space="preserve"> </w:t>
            </w:r>
            <w:r>
              <w:rPr>
                <w:rFonts w:hint="eastAsia"/>
              </w:rPr>
              <w:t>people</w:t>
            </w:r>
            <w:r>
              <w:t xml:space="preserve"> </w:t>
            </w:r>
            <w:r>
              <w:rPr>
                <w:rFonts w:hint="eastAsia"/>
              </w:rPr>
              <w:t>in</w:t>
            </w:r>
            <w:r>
              <w:t xml:space="preserve"> </w:t>
            </w:r>
            <w:r>
              <w:rPr>
                <w:rFonts w:hint="eastAsia"/>
              </w:rPr>
              <w:t>landscape</w:t>
            </w:r>
            <w:r>
              <w:t xml:space="preserve"> </w:t>
            </w:r>
            <w:r>
              <w:rPr>
                <w:rFonts w:hint="eastAsia"/>
              </w:rPr>
              <w:t>c</w:t>
            </w:r>
            <w:r>
              <w:t>ommunity do not fully understand the project philosophy and approaches, thus failing to fully fulfill some of the project guidelines and certain criteria</w:t>
            </w:r>
          </w:p>
          <w:p>
            <w:pPr>
              <w:rPr>
                <w:lang w:eastAsia="zh-CN"/>
              </w:rPr>
            </w:pPr>
            <w:r>
              <w:rPr>
                <w:rFonts w:hint="eastAsia"/>
                <w:lang w:eastAsia="zh-CN"/>
              </w:rPr>
              <w:t>景观社区的当地人没有完全理解项目理念和方法，因此未能完全满足一些项目指南和某些标准</w:t>
            </w:r>
          </w:p>
        </w:tc>
        <w:tc>
          <w:tcPr>
            <w:tcW w:w="557" w:type="pct"/>
            <w:tcBorders>
              <w:top w:val="single" w:color="auto" w:sz="4" w:space="0"/>
              <w:left w:val="single" w:color="auto" w:sz="4" w:space="0"/>
              <w:bottom w:val="single" w:color="auto" w:sz="4" w:space="0"/>
              <w:right w:val="single" w:color="auto" w:sz="4" w:space="0"/>
            </w:tcBorders>
          </w:tcPr>
          <w:p>
            <w:r>
              <w:t>Capacity building efforts not sufficiently effective in facilitating changes in local practices, or farmers unable to fulfill certain criteria (e.g., quality, reliable supply, etc.).</w:t>
            </w:r>
          </w:p>
          <w:p>
            <w:pPr>
              <w:rPr>
                <w:lang w:eastAsia="zh-CN"/>
              </w:rPr>
            </w:pPr>
            <w:r>
              <w:rPr>
                <w:rFonts w:hint="eastAsia"/>
                <w:lang w:eastAsia="zh-CN"/>
              </w:rPr>
              <w:t>能力建设工作在促进当地做法的改变方面不够有效，或者农民无法满足某些标准（如质量、可靠供应等）。</w:t>
            </w:r>
          </w:p>
        </w:tc>
        <w:tc>
          <w:tcPr>
            <w:tcW w:w="656" w:type="pct"/>
            <w:tcBorders>
              <w:top w:val="single" w:color="auto" w:sz="4" w:space="0"/>
              <w:left w:val="single" w:color="auto" w:sz="4" w:space="0"/>
              <w:bottom w:val="single" w:color="auto" w:sz="4" w:space="0"/>
              <w:right w:val="single" w:color="auto" w:sz="4" w:space="0"/>
            </w:tcBorders>
          </w:tcPr>
          <w:p>
            <w:r>
              <w:t>Building capacities and shifting attitudes and practices among local communities will require concerted focus.</w:t>
            </w:r>
          </w:p>
          <w:p>
            <w:pPr>
              <w:rPr>
                <w:lang w:eastAsia="zh-CN"/>
              </w:rPr>
            </w:pPr>
            <w:r>
              <w:rPr>
                <w:rFonts w:hint="eastAsia"/>
                <w:lang w:eastAsia="zh-CN"/>
              </w:rPr>
              <w:t>地方社区之间的能力建设以及态度和实践的转变需要协调一致。</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31/12/2025</w:t>
            </w:r>
          </w:p>
        </w:tc>
        <w:tc>
          <w:tcPr>
            <w:tcW w:w="455" w:type="pct"/>
            <w:tcBorders>
              <w:top w:val="single" w:color="auto" w:sz="4" w:space="0"/>
              <w:left w:val="single" w:color="auto" w:sz="4" w:space="0"/>
              <w:bottom w:val="single" w:color="auto" w:sz="4" w:space="0"/>
              <w:right w:val="single" w:color="auto" w:sz="4" w:space="0"/>
            </w:tcBorders>
          </w:tcPr>
          <w:p>
            <w:r>
              <w:t>I = 3</w:t>
            </w:r>
          </w:p>
          <w:p>
            <w:r>
              <w:t>L = 2</w:t>
            </w:r>
          </w:p>
        </w:tc>
        <w:tc>
          <w:tcPr>
            <w:tcW w:w="1112" w:type="pct"/>
            <w:tcBorders>
              <w:top w:val="single" w:color="auto" w:sz="4" w:space="0"/>
              <w:left w:val="single" w:color="auto" w:sz="4" w:space="0"/>
              <w:bottom w:val="single" w:color="auto" w:sz="4" w:space="0"/>
              <w:right w:val="single" w:color="auto" w:sz="4" w:space="0"/>
            </w:tcBorders>
          </w:tcPr>
          <w:p>
            <w:r>
              <w:t>The project is conducting systematic training for local community representatives from the five landscape restoration areas to help them understand the project philosophy and approaches.</w:t>
            </w:r>
          </w:p>
          <w:p>
            <w:pPr>
              <w:rPr>
                <w:lang w:eastAsia="zh-CN"/>
              </w:rPr>
            </w:pPr>
            <w:r>
              <w:rPr>
                <w:rFonts w:hint="eastAsia"/>
                <w:lang w:eastAsia="zh-CN"/>
              </w:rPr>
              <w:t>项目正在对来自五个景观区的当地社区代表进行系统培训，以帮助他们了解项目理念和方法。</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Landscape Coordinators</w:t>
            </w:r>
          </w:p>
          <w:p>
            <w:pPr>
              <w:rPr>
                <w:lang w:eastAsia="zh-CN"/>
              </w:rPr>
            </w:pPr>
            <w:r>
              <w:rPr>
                <w:rFonts w:hint="eastAsia"/>
                <w:lang w:eastAsia="zh-CN"/>
              </w:rPr>
              <w:t>项目经理、国家技术顾问、可持续森林管理专家、景观协调员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2</w:t>
            </w:r>
          </w:p>
        </w:tc>
        <w:tc>
          <w:tcPr>
            <w:tcW w:w="556" w:type="pct"/>
            <w:tcBorders>
              <w:top w:val="single" w:color="auto" w:sz="4" w:space="0"/>
              <w:left w:val="single" w:color="auto" w:sz="4" w:space="0"/>
              <w:bottom w:val="single" w:color="auto" w:sz="4" w:space="0"/>
              <w:right w:val="single" w:color="auto" w:sz="4" w:space="0"/>
            </w:tcBorders>
          </w:tcPr>
          <w:p>
            <w:r>
              <w:t>Political, Regulatory</w:t>
            </w:r>
          </w:p>
          <w:p>
            <w:r>
              <w:rPr>
                <w:rFonts w:hint="eastAsia"/>
                <w:lang w:eastAsia="zh-CN"/>
              </w:rPr>
              <w:t>法规法制</w:t>
            </w:r>
          </w:p>
        </w:tc>
        <w:tc>
          <w:tcPr>
            <w:tcW w:w="607" w:type="pct"/>
            <w:tcBorders>
              <w:top w:val="single" w:color="auto" w:sz="4" w:space="0"/>
              <w:left w:val="single" w:color="auto" w:sz="4" w:space="0"/>
              <w:bottom w:val="single" w:color="auto" w:sz="4" w:space="0"/>
              <w:right w:val="single" w:color="auto" w:sz="4" w:space="0"/>
            </w:tcBorders>
          </w:tcPr>
          <w:p>
            <w:r>
              <w:t>The government did not approve the proposed policy reforms during the project implementation period</w:t>
            </w:r>
          </w:p>
          <w:p>
            <w:pPr>
              <w:rPr>
                <w:lang w:eastAsia="zh-CN"/>
              </w:rPr>
            </w:pPr>
            <w:r>
              <w:rPr>
                <w:rFonts w:hint="eastAsia"/>
                <w:lang w:eastAsia="zh-CN"/>
              </w:rPr>
              <w:t>在项目实施期间，政府没有批准拟议的政策改革</w:t>
            </w:r>
          </w:p>
        </w:tc>
        <w:tc>
          <w:tcPr>
            <w:tcW w:w="557" w:type="pct"/>
            <w:tcBorders>
              <w:top w:val="single" w:color="auto" w:sz="4" w:space="0"/>
              <w:left w:val="single" w:color="auto" w:sz="4" w:space="0"/>
              <w:bottom w:val="single" w:color="auto" w:sz="4" w:space="0"/>
              <w:right w:val="single" w:color="auto" w:sz="4" w:space="0"/>
            </w:tcBorders>
          </w:tcPr>
          <w:p>
            <w:r>
              <w:t>The legislative approval process does not match the project implementation timeframe</w:t>
            </w:r>
          </w:p>
          <w:p>
            <w:pPr>
              <w:rPr>
                <w:lang w:eastAsia="zh-CN"/>
              </w:rPr>
            </w:pPr>
            <w:r>
              <w:rPr>
                <w:rFonts w:hint="eastAsia"/>
                <w:lang w:eastAsia="zh-CN"/>
              </w:rPr>
              <w:t>立法审批流程与项目实施时间表不一致</w:t>
            </w:r>
          </w:p>
        </w:tc>
        <w:tc>
          <w:tcPr>
            <w:tcW w:w="656" w:type="pct"/>
            <w:tcBorders>
              <w:top w:val="single" w:color="auto" w:sz="4" w:space="0"/>
              <w:left w:val="single" w:color="auto" w:sz="4" w:space="0"/>
              <w:bottom w:val="single" w:color="auto" w:sz="4" w:space="0"/>
              <w:right w:val="single" w:color="auto" w:sz="4" w:space="0"/>
            </w:tcBorders>
          </w:tcPr>
          <w:p>
            <w:r>
              <w:t>If proposed policy reforms are not instituted within the project lifespan, some of the momentum gained could be lost when GEF funding ceases.</w:t>
            </w:r>
          </w:p>
          <w:p>
            <w:pPr>
              <w:rPr>
                <w:lang w:eastAsia="zh-CN"/>
              </w:rPr>
            </w:pPr>
            <w:r>
              <w:rPr>
                <w:rFonts w:hint="eastAsia"/>
                <w:lang w:eastAsia="zh-CN"/>
              </w:rPr>
              <w:t>如果拟议的政策改革没有在项目期限内实施，那么当全球环境基金的资金停止时，所获得的一些动力可能会丧失。</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31/12/2025</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6"/>
              </w:numPr>
            </w:pPr>
            <w:r>
              <w:t xml:space="preserve">The National Forestry and Grasslands Administration (NFGA), the lead Implementing Partner for the project, has been actively involved throughout the project preparation phase, and the project was developed to provide incremental value to the ongoing National Forest Protection Program.  </w:t>
            </w:r>
          </w:p>
          <w:p>
            <w:pPr>
              <w:pStyle w:val="37"/>
              <w:numPr>
                <w:ilvl w:val="0"/>
                <w:numId w:val="6"/>
              </w:numPr>
            </w:pPr>
            <w:r>
              <w:t>The subnational forestry bureaus in the project landscapes report directly to the NFGA, and subnational policy improvements are envisaged to be directly linked to those made at the national level. T</w:t>
            </w:r>
            <w:r>
              <w:rPr>
                <w:rFonts w:hint="eastAsia"/>
              </w:rPr>
              <w:t>herefore</w:t>
            </w:r>
            <w:r>
              <w:t>, proposed policy reforms and momentum policy will be completed on schedule.</w:t>
            </w:r>
          </w:p>
          <w:p>
            <w:pPr>
              <w:ind w:left="360" w:hanging="360"/>
              <w:rPr>
                <w:lang w:eastAsia="zh-CN"/>
              </w:rPr>
            </w:pPr>
            <w:r>
              <w:rPr>
                <w:rFonts w:hint="eastAsia"/>
                <w:lang w:eastAsia="zh-CN"/>
              </w:rPr>
              <w:t>采取了两项行动：</w:t>
            </w:r>
          </w:p>
          <w:p>
            <w:pPr>
              <w:ind w:left="360" w:hanging="360"/>
              <w:rPr>
                <w:lang w:eastAsia="zh-CN"/>
              </w:rPr>
            </w:pPr>
          </w:p>
          <w:p>
            <w:pPr>
              <w:rPr>
                <w:lang w:eastAsia="zh-CN"/>
              </w:rPr>
            </w:pPr>
            <w:r>
              <w:rPr>
                <w:rFonts w:hint="eastAsia"/>
                <w:lang w:eastAsia="zh-CN"/>
              </w:rPr>
              <w:t>•国家林草局（</w:t>
            </w:r>
            <w:r>
              <w:rPr>
                <w:lang w:eastAsia="zh-CN"/>
              </w:rPr>
              <w:t>NFGA</w:t>
            </w:r>
            <w:r>
              <w:rPr>
                <w:rFonts w:hint="eastAsia"/>
                <w:lang w:eastAsia="zh-CN"/>
              </w:rPr>
              <w:t>）是该项目的主要实施伙伴，在整个项目准备阶段一直积极参与，该项目的开发旨在为正在进行的国家森林保护计划提供增量价值。</w:t>
            </w:r>
          </w:p>
          <w:p>
            <w:pPr>
              <w:rPr>
                <w:lang w:eastAsia="zh-CN"/>
              </w:rPr>
            </w:pPr>
          </w:p>
          <w:p>
            <w:pPr>
              <w:rPr>
                <w:lang w:eastAsia="zh-CN"/>
              </w:rPr>
            </w:pPr>
            <w:r>
              <w:rPr>
                <w:rFonts w:hint="eastAsia"/>
                <w:lang w:eastAsia="zh-CN"/>
              </w:rPr>
              <w:t>•项目景观区的林业主管部门直接向国家林草局报告，国家以下政策的改进预计将与国家级的政策改进直接挂钩。因此，拟议的政策改革将如期完成。</w:t>
            </w:r>
          </w:p>
        </w:tc>
        <w:tc>
          <w:tcPr>
            <w:tcW w:w="505" w:type="pct"/>
            <w:tcBorders>
              <w:top w:val="single" w:color="auto" w:sz="4" w:space="0"/>
              <w:left w:val="single" w:color="auto" w:sz="4" w:space="0"/>
              <w:bottom w:val="single" w:color="auto" w:sz="4" w:space="0"/>
              <w:right w:val="single" w:color="auto" w:sz="4" w:space="0"/>
            </w:tcBorders>
          </w:tcPr>
          <w:p>
            <w:r>
              <w:t>NFGA, Project Board, Project Manager, National Technical Advisor, Sustainable Forest Management Specialist, Landscape Coordinators</w:t>
            </w:r>
          </w:p>
          <w:p>
            <w:pPr>
              <w:rPr>
                <w:lang w:eastAsia="zh-CN"/>
              </w:rPr>
            </w:pPr>
            <w:r>
              <w:rPr>
                <w:rFonts w:hint="eastAsia"/>
                <w:lang w:eastAsia="zh-CN"/>
              </w:rPr>
              <w:t>国家林草局、项目指导委员会、项目经理、国家技术顾问、可持续森林管理专家、景观协调员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3</w:t>
            </w:r>
          </w:p>
        </w:tc>
        <w:tc>
          <w:tcPr>
            <w:tcW w:w="556" w:type="pct"/>
            <w:tcBorders>
              <w:top w:val="single" w:color="auto" w:sz="4" w:space="0"/>
              <w:left w:val="single" w:color="auto" w:sz="4" w:space="0"/>
              <w:bottom w:val="single" w:color="auto" w:sz="4" w:space="0"/>
              <w:right w:val="single" w:color="auto" w:sz="4" w:space="0"/>
            </w:tcBorders>
          </w:tcPr>
          <w:p>
            <w:r>
              <w:t>Political, Operational, Regulatory</w:t>
            </w:r>
          </w:p>
          <w:p>
            <w:pPr>
              <w:rPr>
                <w:lang w:eastAsia="zh-CN"/>
              </w:rPr>
            </w:pPr>
            <w:r>
              <w:rPr>
                <w:rFonts w:hint="eastAsia"/>
                <w:lang w:eastAsia="zh-CN"/>
              </w:rPr>
              <w:t>政策， 运营</w:t>
            </w:r>
          </w:p>
        </w:tc>
        <w:tc>
          <w:tcPr>
            <w:tcW w:w="607" w:type="pct"/>
            <w:tcBorders>
              <w:top w:val="single" w:color="auto" w:sz="4" w:space="0"/>
              <w:left w:val="single" w:color="auto" w:sz="4" w:space="0"/>
              <w:bottom w:val="single" w:color="auto" w:sz="4" w:space="0"/>
              <w:right w:val="single" w:color="auto" w:sz="4" w:space="0"/>
            </w:tcBorders>
          </w:tcPr>
          <w:p>
            <w:r>
              <w:t xml:space="preserve">The new ecological compensation mechanism may not be accepted </w:t>
            </w:r>
          </w:p>
          <w:p>
            <w:pPr>
              <w:rPr>
                <w:lang w:eastAsia="zh-CN"/>
              </w:rPr>
            </w:pPr>
            <w:r>
              <w:rPr>
                <w:rFonts w:hint="eastAsia"/>
                <w:lang w:eastAsia="zh-CN"/>
              </w:rPr>
              <w:t>新的生态补偿机制可能不会被接受</w:t>
            </w:r>
          </w:p>
        </w:tc>
        <w:tc>
          <w:tcPr>
            <w:tcW w:w="557" w:type="pct"/>
            <w:tcBorders>
              <w:top w:val="single" w:color="auto" w:sz="4" w:space="0"/>
              <w:left w:val="single" w:color="auto" w:sz="4" w:space="0"/>
              <w:bottom w:val="single" w:color="auto" w:sz="4" w:space="0"/>
              <w:right w:val="single" w:color="auto" w:sz="4" w:space="0"/>
            </w:tcBorders>
          </w:tcPr>
          <w:p>
            <w:r>
              <w:t>Fund management entities reluctant to amend or introduce new ecological compensation mechanisms.</w:t>
            </w:r>
          </w:p>
          <w:p>
            <w:pPr>
              <w:rPr>
                <w:lang w:eastAsia="zh-CN"/>
              </w:rPr>
            </w:pPr>
            <w:r>
              <w:rPr>
                <w:rFonts w:hint="eastAsia"/>
                <w:lang w:eastAsia="zh-CN"/>
              </w:rPr>
              <w:t>基金管理实体不愿修改或引入新的生态补偿机制。</w:t>
            </w:r>
          </w:p>
        </w:tc>
        <w:tc>
          <w:tcPr>
            <w:tcW w:w="656" w:type="pct"/>
            <w:tcBorders>
              <w:top w:val="single" w:color="auto" w:sz="4" w:space="0"/>
              <w:left w:val="single" w:color="auto" w:sz="4" w:space="0"/>
              <w:bottom w:val="single" w:color="auto" w:sz="4" w:space="0"/>
              <w:right w:val="single" w:color="auto" w:sz="4" w:space="0"/>
            </w:tcBorders>
          </w:tcPr>
          <w:p>
            <w:r>
              <w:t>The values and services of NFUL can not be introduced to the landscape restoration areas, which may affect the objective of the project.</w:t>
            </w:r>
          </w:p>
          <w:p>
            <w:pPr>
              <w:rPr>
                <w:lang w:eastAsia="zh-CN"/>
              </w:rPr>
            </w:pPr>
            <w:r>
              <w:rPr>
                <w:rFonts w:hint="eastAsia"/>
                <w:lang w:eastAsia="zh-CN"/>
              </w:rPr>
              <w:t>天然林用地的价值和服务不能引入景观修复区域，这可能会影响项目的目标。</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31/12/2025</w:t>
            </w:r>
          </w:p>
        </w:tc>
        <w:tc>
          <w:tcPr>
            <w:tcW w:w="455" w:type="pct"/>
            <w:tcBorders>
              <w:top w:val="single" w:color="auto" w:sz="4" w:space="0"/>
              <w:left w:val="single" w:color="auto" w:sz="4" w:space="0"/>
              <w:bottom w:val="single" w:color="auto" w:sz="4" w:space="0"/>
              <w:right w:val="single" w:color="auto" w:sz="4" w:space="0"/>
            </w:tcBorders>
          </w:tcPr>
          <w:p>
            <w:r>
              <w:t>I = 2</w:t>
            </w:r>
          </w:p>
          <w:p>
            <w:r>
              <w:t>L = 3</w:t>
            </w:r>
          </w:p>
          <w:p/>
        </w:tc>
        <w:tc>
          <w:tcPr>
            <w:tcW w:w="1112" w:type="pct"/>
            <w:tcBorders>
              <w:top w:val="single" w:color="auto" w:sz="4" w:space="0"/>
              <w:left w:val="single" w:color="auto" w:sz="4" w:space="0"/>
              <w:bottom w:val="single" w:color="auto" w:sz="4" w:space="0"/>
              <w:right w:val="single" w:color="auto" w:sz="4" w:space="0"/>
            </w:tcBorders>
          </w:tcPr>
          <w:p>
            <w:r>
              <w:t xml:space="preserve">The project is confirming whether fund management entities including The National Forestry and Grasslands Administration (NFGA) and local governments will be willing to amend or introduce new ecological compensation mechanisms or not. </w:t>
            </w:r>
          </w:p>
          <w:p>
            <w:pPr>
              <w:rPr>
                <w:lang w:eastAsia="zh-CN"/>
              </w:rPr>
            </w:pPr>
            <w:r>
              <w:rPr>
                <w:rFonts w:hint="eastAsia"/>
                <w:lang w:eastAsia="zh-CN"/>
              </w:rPr>
              <w:t>项目正在确认包括国家林草局（NFGA）和地方政府等是否愿意修改或引入新的生态补偿机制。</w:t>
            </w:r>
          </w:p>
        </w:tc>
        <w:tc>
          <w:tcPr>
            <w:tcW w:w="505" w:type="pct"/>
            <w:tcBorders>
              <w:top w:val="single" w:color="auto" w:sz="4" w:space="0"/>
              <w:left w:val="single" w:color="auto" w:sz="4" w:space="0"/>
              <w:bottom w:val="single" w:color="auto" w:sz="4" w:space="0"/>
              <w:right w:val="single" w:color="auto" w:sz="4" w:space="0"/>
            </w:tcBorders>
          </w:tcPr>
          <w:p>
            <w:r>
              <w:t>NFGA, Project Board, Project Manager</w:t>
            </w:r>
          </w:p>
          <w:p>
            <w:pPr>
              <w:rPr>
                <w:lang w:eastAsia="zh-CN"/>
              </w:rPr>
            </w:pPr>
            <w:r>
              <w:rPr>
                <w:rFonts w:hint="eastAsia"/>
                <w:lang w:eastAsia="zh-CN"/>
              </w:rPr>
              <w:t>国家林草局、项目指导委员会、项目经理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4</w:t>
            </w:r>
          </w:p>
        </w:tc>
        <w:tc>
          <w:tcPr>
            <w:tcW w:w="556" w:type="pct"/>
            <w:tcBorders>
              <w:top w:val="single" w:color="auto" w:sz="4" w:space="0"/>
              <w:left w:val="single" w:color="auto" w:sz="4" w:space="0"/>
              <w:bottom w:val="single" w:color="auto" w:sz="4" w:space="0"/>
              <w:right w:val="single" w:color="auto" w:sz="4" w:space="0"/>
            </w:tcBorders>
          </w:tcPr>
          <w:p>
            <w:r>
              <w:t>Strategic, Operational</w:t>
            </w:r>
          </w:p>
          <w:p>
            <w:r>
              <w:rPr>
                <w:rFonts w:hint="eastAsia"/>
                <w:lang w:eastAsia="zh-CN"/>
              </w:rPr>
              <w:t>策略，运营</w:t>
            </w:r>
          </w:p>
        </w:tc>
        <w:tc>
          <w:tcPr>
            <w:tcW w:w="607" w:type="pct"/>
            <w:tcBorders>
              <w:top w:val="single" w:color="auto" w:sz="4" w:space="0"/>
              <w:left w:val="single" w:color="auto" w:sz="4" w:space="0"/>
              <w:bottom w:val="single" w:color="auto" w:sz="4" w:space="0"/>
              <w:right w:val="single" w:color="auto" w:sz="4" w:space="0"/>
            </w:tcBorders>
          </w:tcPr>
          <w:p>
            <w:r>
              <w:t>The project landscapes are situated in five different provinces, with some differences in socioeconomic conditions and institutional capacities. They cannot fully achieve or delay the project objectives in a consistent timeframe</w:t>
            </w:r>
          </w:p>
          <w:p>
            <w:pPr>
              <w:rPr>
                <w:lang w:eastAsia="zh-CN"/>
              </w:rPr>
            </w:pPr>
            <w:r>
              <w:rPr>
                <w:rFonts w:hint="eastAsia"/>
                <w:lang w:eastAsia="zh-CN"/>
              </w:rPr>
              <w:t>项目景观位于五个不同的省份，在社会经济条件和机构能力方面存在一些差异。他们无法在一致的时间内完全实现或延迟项目的目标</w:t>
            </w:r>
          </w:p>
        </w:tc>
        <w:tc>
          <w:tcPr>
            <w:tcW w:w="557" w:type="pct"/>
            <w:tcBorders>
              <w:top w:val="single" w:color="auto" w:sz="4" w:space="0"/>
              <w:left w:val="single" w:color="auto" w:sz="4" w:space="0"/>
              <w:bottom w:val="single" w:color="auto" w:sz="4" w:space="0"/>
              <w:right w:val="single" w:color="auto" w:sz="4" w:space="0"/>
            </w:tcBorders>
          </w:tcPr>
          <w:p>
            <w:r>
              <w:t>Uneven and/or delayed achievement of project objectives in the five project landscapes</w:t>
            </w:r>
          </w:p>
          <w:p>
            <w:pPr>
              <w:rPr>
                <w:lang w:eastAsia="zh-CN"/>
              </w:rPr>
            </w:pPr>
            <w:r>
              <w:rPr>
                <w:rFonts w:hint="eastAsia"/>
                <w:lang w:eastAsia="zh-CN"/>
              </w:rPr>
              <w:t>五个项目景观区项目目标的实现不均衡和/或延迟</w:t>
            </w:r>
          </w:p>
        </w:tc>
        <w:tc>
          <w:tcPr>
            <w:tcW w:w="656" w:type="pct"/>
            <w:tcBorders>
              <w:top w:val="single" w:color="auto" w:sz="4" w:space="0"/>
              <w:left w:val="single" w:color="auto" w:sz="4" w:space="0"/>
              <w:bottom w:val="single" w:color="auto" w:sz="4" w:space="0"/>
              <w:right w:val="single" w:color="auto" w:sz="4" w:space="0"/>
            </w:tcBorders>
          </w:tcPr>
          <w:p>
            <w:r>
              <w:t>This may affect the overall progress of achieving objectives at a project level</w:t>
            </w:r>
          </w:p>
          <w:p>
            <w:pPr>
              <w:rPr>
                <w:lang w:eastAsia="zh-CN"/>
              </w:rPr>
            </w:pPr>
            <w:r>
              <w:rPr>
                <w:rFonts w:hint="eastAsia"/>
                <w:lang w:eastAsia="zh-CN"/>
              </w:rPr>
              <w:t>这可能会影响项目层面实现目标的总体进度</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31/12/2025</w:t>
            </w:r>
          </w:p>
        </w:tc>
        <w:tc>
          <w:tcPr>
            <w:tcW w:w="455" w:type="pct"/>
            <w:tcBorders>
              <w:top w:val="single" w:color="auto" w:sz="4" w:space="0"/>
              <w:left w:val="single" w:color="auto" w:sz="4" w:space="0"/>
              <w:bottom w:val="single" w:color="auto" w:sz="4" w:space="0"/>
              <w:right w:val="single" w:color="auto" w:sz="4" w:space="0"/>
            </w:tcBorders>
          </w:tcPr>
          <w:p>
            <w:r>
              <w:t>I = 3</w:t>
            </w:r>
          </w:p>
          <w:p>
            <w:r>
              <w:t>L = 4</w:t>
            </w:r>
          </w:p>
          <w:p/>
        </w:tc>
        <w:tc>
          <w:tcPr>
            <w:tcW w:w="1112" w:type="pct"/>
            <w:tcBorders>
              <w:top w:val="single" w:color="auto" w:sz="4" w:space="0"/>
              <w:left w:val="single" w:color="auto" w:sz="4" w:space="0"/>
              <w:bottom w:val="single" w:color="auto" w:sz="4" w:space="0"/>
              <w:right w:val="single" w:color="auto" w:sz="4" w:space="0"/>
            </w:tcBorders>
          </w:tcPr>
          <w:p>
            <w:r>
              <w:t>F</w:t>
            </w:r>
            <w:r>
              <w:rPr>
                <w:rFonts w:hint="eastAsia"/>
              </w:rPr>
              <w:t>ive</w:t>
            </w:r>
            <w:r>
              <w:t xml:space="preserve"> management </w:t>
            </w:r>
            <w:r>
              <w:rPr>
                <w:rFonts w:hint="eastAsia"/>
              </w:rPr>
              <w:t>o</w:t>
            </w:r>
            <w:r>
              <w:t>ffices have been established in the five target landscape areas for the project. The recruited coordinators and relevant staff will all work under the guidance of the Project Management Office. In addition, the State Forestry and Grassland Administration will centrally manage and coordinate the work in the five target landscape areas. These measures can ensure the simultaneous coordination and implementation of project activities and related policies.</w:t>
            </w:r>
          </w:p>
          <w:p>
            <w:pPr>
              <w:rPr>
                <w:lang w:eastAsia="zh-CN"/>
              </w:rPr>
            </w:pPr>
            <w:r>
              <w:rPr>
                <w:rFonts w:hint="eastAsia"/>
                <w:lang w:eastAsia="zh-CN"/>
              </w:rPr>
              <w:t>项目的五个景观区域设立了五个管理办公室。招聘的协调员和相关工作人员都将在项目管理办公室的指导下工作。此外，国家林草局将集中管理和协调五个景观区的工作。这些措施可以确保项目活动和相关政策的同时协调和实施。</w:t>
            </w:r>
          </w:p>
          <w:p>
            <w:pPr>
              <w:rPr>
                <w:lang w:eastAsia="zh-CN"/>
              </w:rPr>
            </w:pPr>
          </w:p>
        </w:tc>
        <w:tc>
          <w:tcPr>
            <w:tcW w:w="505" w:type="pct"/>
            <w:tcBorders>
              <w:top w:val="single" w:color="auto" w:sz="4" w:space="0"/>
              <w:left w:val="single" w:color="auto" w:sz="4" w:space="0"/>
              <w:bottom w:val="single" w:color="auto" w:sz="4" w:space="0"/>
              <w:right w:val="single" w:color="auto" w:sz="4" w:space="0"/>
            </w:tcBorders>
          </w:tcPr>
          <w:p>
            <w:r>
              <w:t>NFGA, Project Board, Project Manager, National Technical Advisor, Sustainable Forest Management Specialist, Landscape Coordinators</w:t>
            </w:r>
          </w:p>
          <w:p>
            <w:pPr>
              <w:rPr>
                <w:lang w:eastAsia="zh-CN"/>
              </w:rPr>
            </w:pPr>
            <w:r>
              <w:rPr>
                <w:rFonts w:hint="eastAsia"/>
                <w:lang w:eastAsia="zh-CN"/>
              </w:rPr>
              <w:t>国家林草局、项目指导委员会、项目经理、国家技术顾问、可持续森林管理专家、景观协调员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5</w:t>
            </w:r>
          </w:p>
        </w:tc>
        <w:tc>
          <w:tcPr>
            <w:tcW w:w="556" w:type="pct"/>
            <w:tcBorders>
              <w:top w:val="single" w:color="auto" w:sz="4" w:space="0"/>
              <w:left w:val="single" w:color="auto" w:sz="4" w:space="0"/>
              <w:bottom w:val="single" w:color="auto" w:sz="4" w:space="0"/>
              <w:right w:val="single" w:color="auto" w:sz="4" w:space="0"/>
            </w:tcBorders>
          </w:tcPr>
          <w:p>
            <w:r>
              <w:t>Operational, Organizational</w:t>
            </w:r>
          </w:p>
          <w:p>
            <w:pPr>
              <w:rPr>
                <w:lang w:eastAsia="zh-CN"/>
              </w:rPr>
            </w:pPr>
            <w:r>
              <w:rPr>
                <w:rFonts w:hint="eastAsia"/>
                <w:lang w:eastAsia="zh-CN"/>
              </w:rPr>
              <w:t>运营，管理</w:t>
            </w:r>
          </w:p>
        </w:tc>
        <w:tc>
          <w:tcPr>
            <w:tcW w:w="607" w:type="pct"/>
            <w:tcBorders>
              <w:top w:val="single" w:color="auto" w:sz="4" w:space="0"/>
              <w:left w:val="single" w:color="auto" w:sz="4" w:space="0"/>
              <w:bottom w:val="single" w:color="auto" w:sz="4" w:space="0"/>
              <w:right w:val="single" w:color="auto" w:sz="4" w:space="0"/>
            </w:tcBorders>
          </w:tcPr>
          <w:p>
            <w:r>
              <w:t>The landscape coordinators of local forestry bureaus may lack the time or ability to effectively coordinate project activities, especially for some sub national co</w:t>
            </w:r>
            <w:r>
              <w:rPr>
                <w:rFonts w:hint="eastAsia"/>
              </w:rPr>
              <w:t>-</w:t>
            </w:r>
            <w:r>
              <w:t>financing contributions.</w:t>
            </w:r>
          </w:p>
          <w:p>
            <w:pPr>
              <w:rPr>
                <w:lang w:eastAsia="zh-CN"/>
              </w:rPr>
            </w:pPr>
            <w:r>
              <w:rPr>
                <w:rFonts w:hint="eastAsia"/>
                <w:lang w:eastAsia="zh-CN"/>
              </w:rPr>
              <w:t>地方林业主管部门的景观协调员可能缺乏时间或能力来有效协调项目活动，特别是对于一些地方共同融资捐款。</w:t>
            </w:r>
          </w:p>
        </w:tc>
        <w:tc>
          <w:tcPr>
            <w:tcW w:w="557" w:type="pct"/>
            <w:tcBorders>
              <w:top w:val="single" w:color="auto" w:sz="4" w:space="0"/>
              <w:left w:val="single" w:color="auto" w:sz="4" w:space="0"/>
              <w:bottom w:val="single" w:color="auto" w:sz="4" w:space="0"/>
              <w:right w:val="single" w:color="auto" w:sz="4" w:space="0"/>
            </w:tcBorders>
          </w:tcPr>
          <w:p>
            <w:r>
              <w:t>Insufficient coordination at the local level and a lack of ownership can result in inadequate or insufficient monitoring and maintenance of restored areas.</w:t>
            </w:r>
          </w:p>
          <w:p>
            <w:pPr>
              <w:rPr>
                <w:lang w:eastAsia="zh-CN"/>
              </w:rPr>
            </w:pPr>
            <w:r>
              <w:rPr>
                <w:rFonts w:hint="eastAsia"/>
                <w:lang w:eastAsia="zh-CN"/>
              </w:rPr>
              <w:t>地方协调不足和缺乏自主权可能导致对恢复地区的监测和维护不足或不足。</w:t>
            </w:r>
          </w:p>
        </w:tc>
        <w:tc>
          <w:tcPr>
            <w:tcW w:w="656" w:type="pct"/>
            <w:tcBorders>
              <w:top w:val="single" w:color="auto" w:sz="4" w:space="0"/>
              <w:left w:val="single" w:color="auto" w:sz="4" w:space="0"/>
              <w:bottom w:val="single" w:color="auto" w:sz="4" w:space="0"/>
              <w:right w:val="single" w:color="auto" w:sz="4" w:space="0"/>
            </w:tcBorders>
          </w:tcPr>
          <w:p>
            <w:r>
              <w:t>This may have an impact on the effective restoration and monitoring of landscape restoration areas</w:t>
            </w:r>
          </w:p>
          <w:p>
            <w:pPr>
              <w:rPr>
                <w:lang w:eastAsia="zh-CN"/>
              </w:rPr>
            </w:pPr>
            <w:r>
              <w:rPr>
                <w:rFonts w:hint="eastAsia"/>
                <w:lang w:eastAsia="zh-CN"/>
              </w:rPr>
              <w:t>这可能会对景观区的有效恢复和监测产生影响</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w:t>
            </w:r>
            <w:r>
              <w:rPr>
                <w:rFonts w:hint="eastAsia"/>
              </w:rPr>
              <w:t>4</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tc>
        <w:tc>
          <w:tcPr>
            <w:tcW w:w="1112" w:type="pct"/>
            <w:tcBorders>
              <w:top w:val="single" w:color="auto" w:sz="4" w:space="0"/>
              <w:left w:val="single" w:color="auto" w:sz="4" w:space="0"/>
              <w:bottom w:val="single" w:color="auto" w:sz="4" w:space="0"/>
              <w:right w:val="single" w:color="auto" w:sz="4" w:space="0"/>
            </w:tcBorders>
          </w:tcPr>
          <w:p>
            <w:pPr>
              <w:ind w:left="360" w:hanging="360"/>
            </w:pPr>
            <w:r>
              <w:t>One action was taken:</w:t>
            </w:r>
          </w:p>
          <w:p>
            <w:pPr>
              <w:pStyle w:val="37"/>
              <w:numPr>
                <w:ilvl w:val="0"/>
                <w:numId w:val="7"/>
              </w:numPr>
            </w:pPr>
            <w:r>
              <w:t xml:space="preserve">Provincial project management offices (PMOs) have been established through co-financing contributions in each of the target landscapes to provide a direct linkage to NFGA oversight at the central level. </w:t>
            </w:r>
          </w:p>
          <w:p>
            <w:pPr>
              <w:ind w:left="360" w:hanging="360"/>
              <w:rPr>
                <w:lang w:eastAsia="zh-CN"/>
              </w:rPr>
            </w:pPr>
            <w:r>
              <w:rPr>
                <w:rFonts w:hint="eastAsia"/>
                <w:lang w:eastAsia="zh-CN"/>
              </w:rPr>
              <w:t>采取了一项行动：</w:t>
            </w:r>
          </w:p>
          <w:p>
            <w:pPr>
              <w:rPr>
                <w:lang w:eastAsia="zh-CN"/>
              </w:rPr>
            </w:pPr>
            <w:r>
              <w:rPr>
                <w:rFonts w:hint="eastAsia"/>
                <w:lang w:eastAsia="zh-CN"/>
              </w:rPr>
              <w:t>通过在每个目标地区共同出资，建立了省级项目管理办公室，以便与国家林草局的监督建立直接联系。</w:t>
            </w:r>
          </w:p>
        </w:tc>
        <w:tc>
          <w:tcPr>
            <w:tcW w:w="505" w:type="pct"/>
            <w:tcBorders>
              <w:top w:val="single" w:color="auto" w:sz="4" w:space="0"/>
              <w:left w:val="single" w:color="auto" w:sz="4" w:space="0"/>
              <w:bottom w:val="single" w:color="auto" w:sz="4" w:space="0"/>
              <w:right w:val="single" w:color="auto" w:sz="4" w:space="0"/>
            </w:tcBorders>
          </w:tcPr>
          <w:p>
            <w:pPr>
              <w:rPr>
                <w:lang w:eastAsia="zh-CN"/>
              </w:rPr>
            </w:pPr>
            <w:r>
              <w:t>Project Manager, National Technical Advisor, Sustainable Forest Management Specialist,</w:t>
            </w:r>
            <w:r>
              <w:rPr>
                <w:rFonts w:hint="eastAsia"/>
                <w:lang w:eastAsia="zh-CN"/>
              </w:rPr>
              <w:t>项目经理、国家技术顾问、可持续森林管理专家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6</w:t>
            </w:r>
          </w:p>
        </w:tc>
        <w:tc>
          <w:tcPr>
            <w:tcW w:w="556" w:type="pct"/>
            <w:tcBorders>
              <w:top w:val="single" w:color="auto" w:sz="4" w:space="0"/>
              <w:left w:val="single" w:color="auto" w:sz="4" w:space="0"/>
              <w:bottom w:val="single" w:color="auto" w:sz="4" w:space="0"/>
              <w:right w:val="single" w:color="auto" w:sz="4" w:space="0"/>
            </w:tcBorders>
          </w:tcPr>
          <w:p>
            <w:r>
              <w:t>Financial, Political</w:t>
            </w:r>
          </w:p>
          <w:p>
            <w:pPr>
              <w:rPr>
                <w:lang w:eastAsia="zh-CN"/>
              </w:rPr>
            </w:pPr>
            <w:r>
              <w:rPr>
                <w:rFonts w:hint="eastAsia"/>
                <w:lang w:eastAsia="zh-CN"/>
              </w:rPr>
              <w:t>财务， 政治</w:t>
            </w:r>
          </w:p>
        </w:tc>
        <w:tc>
          <w:tcPr>
            <w:tcW w:w="607" w:type="pct"/>
            <w:tcBorders>
              <w:top w:val="single" w:color="auto" w:sz="4" w:space="0"/>
              <w:left w:val="single" w:color="auto" w:sz="4" w:space="0"/>
              <w:bottom w:val="single" w:color="auto" w:sz="4" w:space="0"/>
              <w:right w:val="single" w:color="auto" w:sz="4" w:space="0"/>
            </w:tcBorders>
          </w:tcPr>
          <w:p>
            <w:r>
              <w:t>The funds for national and sub national government programs funded by national and local governments have not been in place in a timely manner or the amount is insufficient</w:t>
            </w:r>
          </w:p>
          <w:p>
            <w:pPr>
              <w:rPr>
                <w:lang w:eastAsia="zh-CN"/>
              </w:rPr>
            </w:pPr>
            <w:r>
              <w:rPr>
                <w:rFonts w:hint="eastAsia"/>
                <w:lang w:eastAsia="zh-CN"/>
              </w:rPr>
              <w:t>国家和地方政府资助的国家和地方各级政府项目资金没有及时到位或数额不足</w:t>
            </w:r>
          </w:p>
        </w:tc>
        <w:tc>
          <w:tcPr>
            <w:tcW w:w="557" w:type="pct"/>
            <w:tcBorders>
              <w:top w:val="single" w:color="auto" w:sz="4" w:space="0"/>
              <w:left w:val="single" w:color="auto" w:sz="4" w:space="0"/>
              <w:bottom w:val="single" w:color="auto" w:sz="4" w:space="0"/>
              <w:right w:val="single" w:color="auto" w:sz="4" w:space="0"/>
            </w:tcBorders>
          </w:tcPr>
          <w:p>
            <w:r>
              <w:t>Co-financing contributions, including those from the private sector, were not realized as planned</w:t>
            </w:r>
          </w:p>
          <w:p>
            <w:pPr>
              <w:rPr>
                <w:lang w:eastAsia="zh-CN"/>
              </w:rPr>
            </w:pPr>
            <w:r>
              <w:rPr>
                <w:rFonts w:hint="eastAsia"/>
                <w:lang w:eastAsia="zh-CN"/>
              </w:rPr>
              <w:t>共同捐款，包括来自私营部门的捐款，没有按计划实现</w:t>
            </w:r>
          </w:p>
        </w:tc>
        <w:tc>
          <w:tcPr>
            <w:tcW w:w="656" w:type="pct"/>
            <w:tcBorders>
              <w:top w:val="single" w:color="auto" w:sz="4" w:space="0"/>
              <w:left w:val="single" w:color="auto" w:sz="4" w:space="0"/>
              <w:bottom w:val="single" w:color="auto" w:sz="4" w:space="0"/>
              <w:right w:val="single" w:color="auto" w:sz="4" w:space="0"/>
            </w:tcBorders>
          </w:tcPr>
          <w:p>
            <w:r>
              <w:t>Insufficient or untimely Co-financing contributions will affect the effective implementation of project activities</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31/12/2025</w:t>
            </w:r>
          </w:p>
        </w:tc>
        <w:tc>
          <w:tcPr>
            <w:tcW w:w="455" w:type="pct"/>
            <w:tcBorders>
              <w:top w:val="single" w:color="auto" w:sz="4" w:space="0"/>
              <w:left w:val="single" w:color="auto" w:sz="4" w:space="0"/>
              <w:bottom w:val="single" w:color="auto" w:sz="4" w:space="0"/>
              <w:right w:val="single" w:color="auto" w:sz="4" w:space="0"/>
            </w:tcBorders>
          </w:tcPr>
          <w:p>
            <w:r>
              <w:t>I = 3</w:t>
            </w:r>
          </w:p>
          <w:p>
            <w:r>
              <w:t>L = 2</w:t>
            </w:r>
          </w:p>
          <w:p/>
        </w:tc>
        <w:tc>
          <w:tcPr>
            <w:tcW w:w="1112" w:type="pct"/>
            <w:tcBorders>
              <w:top w:val="single" w:color="auto" w:sz="4" w:space="0"/>
              <w:left w:val="single" w:color="auto" w:sz="4" w:space="0"/>
              <w:bottom w:val="single" w:color="auto" w:sz="4" w:space="0"/>
              <w:right w:val="single" w:color="auto" w:sz="4" w:space="0"/>
            </w:tcBorders>
          </w:tcPr>
          <w:p>
            <w:r>
              <w:t>The project has once again discussed with two private sector entities, including Menghai Jinsha Agricultural Technology Development Co., Ltd. and Guizhou Qiming Agricultural Technology Development Co., Ltd. Both companies have reconfirmed their co-financing contributions.</w:t>
            </w:r>
          </w:p>
          <w:p>
            <w:pPr>
              <w:rPr>
                <w:lang w:eastAsia="zh-CN"/>
              </w:rPr>
            </w:pPr>
            <w:r>
              <w:rPr>
                <w:rFonts w:hint="eastAsia"/>
                <w:lang w:eastAsia="zh-CN"/>
              </w:rPr>
              <w:t>项目再次</w:t>
            </w:r>
            <w:r>
              <w:rPr>
                <w:rFonts w:hint="eastAsia"/>
                <w:lang w:val="en-US" w:eastAsia="zh-CN"/>
              </w:rPr>
              <w:t>联系</w:t>
            </w:r>
            <w:r>
              <w:rPr>
                <w:rFonts w:hint="eastAsia"/>
                <w:lang w:eastAsia="zh-CN"/>
              </w:rPr>
              <w:t>两家私营</w:t>
            </w:r>
            <w:r>
              <w:rPr>
                <w:rFonts w:hint="eastAsia"/>
                <w:lang w:val="en-US" w:eastAsia="zh-CN"/>
              </w:rPr>
              <w:t>企业（</w:t>
            </w:r>
            <w:r>
              <w:rPr>
                <w:rFonts w:hint="eastAsia"/>
                <w:lang w:eastAsia="zh-CN"/>
              </w:rPr>
              <w:t>包括勐海金沙农业技术开发有限公司和贵州启明农业技术开发股份有限公司有限公司）。两家公司都再次确认了共同出资。</w:t>
            </w:r>
          </w:p>
        </w:tc>
        <w:tc>
          <w:tcPr>
            <w:tcW w:w="505" w:type="pct"/>
            <w:tcBorders>
              <w:top w:val="single" w:color="auto" w:sz="4" w:space="0"/>
              <w:left w:val="single" w:color="auto" w:sz="4" w:space="0"/>
              <w:bottom w:val="single" w:color="auto" w:sz="4" w:space="0"/>
              <w:right w:val="single" w:color="auto" w:sz="4" w:space="0"/>
            </w:tcBorders>
          </w:tcPr>
          <w:p>
            <w:r>
              <w:t>NFGA, Subnational Forestry Bureaus, UNDP CO, Project Manager, National Technical Advisor, Sustainable Forest Management Specialist</w:t>
            </w:r>
          </w:p>
          <w:p>
            <w:pPr>
              <w:rPr>
                <w:lang w:eastAsia="zh-CN"/>
              </w:rPr>
            </w:pPr>
            <w:r>
              <w:rPr>
                <w:rFonts w:hint="eastAsia"/>
                <w:lang w:eastAsia="zh-CN"/>
              </w:rPr>
              <w:t>国家林草局、地方林业主管部门、UNDP、项目经理、国家技术顾问、可持续森林管理专家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7</w:t>
            </w:r>
          </w:p>
        </w:tc>
        <w:tc>
          <w:tcPr>
            <w:tcW w:w="556" w:type="pct"/>
            <w:tcBorders>
              <w:top w:val="single" w:color="auto" w:sz="4" w:space="0"/>
              <w:left w:val="single" w:color="auto" w:sz="4" w:space="0"/>
              <w:bottom w:val="single" w:color="auto" w:sz="4" w:space="0"/>
              <w:right w:val="single" w:color="auto" w:sz="4" w:space="0"/>
            </w:tcBorders>
          </w:tcPr>
          <w:p>
            <w:r>
              <w:t>Operational, Financial</w:t>
            </w:r>
          </w:p>
          <w:p>
            <w:r>
              <w:rPr>
                <w:rFonts w:hint="eastAsia"/>
                <w:lang w:eastAsia="zh-CN"/>
              </w:rPr>
              <w:t>运营，财务</w:t>
            </w:r>
          </w:p>
        </w:tc>
        <w:tc>
          <w:tcPr>
            <w:tcW w:w="607" w:type="pct"/>
            <w:tcBorders>
              <w:top w:val="single" w:color="auto" w:sz="4" w:space="0"/>
              <w:left w:val="single" w:color="auto" w:sz="4" w:space="0"/>
              <w:bottom w:val="single" w:color="auto" w:sz="4" w:space="0"/>
              <w:right w:val="single" w:color="auto" w:sz="4" w:space="0"/>
            </w:tcBorders>
          </w:tcPr>
          <w:p>
            <w:r>
              <w:t>The COVID-19 or other public health events may have an impact on the project activities</w:t>
            </w:r>
          </w:p>
          <w:p>
            <w:pPr>
              <w:rPr>
                <w:lang w:eastAsia="zh-CN"/>
              </w:rPr>
            </w:pPr>
            <w:r>
              <w:rPr>
                <w:rFonts w:hint="eastAsia"/>
                <w:lang w:eastAsia="zh-CN"/>
              </w:rPr>
              <w:t>新冠肺炎或其他公共卫生事件可能对项目活动产生影响</w:t>
            </w:r>
          </w:p>
        </w:tc>
        <w:tc>
          <w:tcPr>
            <w:tcW w:w="557" w:type="pct"/>
            <w:tcBorders>
              <w:top w:val="single" w:color="auto" w:sz="4" w:space="0"/>
              <w:left w:val="single" w:color="auto" w:sz="4" w:space="0"/>
              <w:bottom w:val="single" w:color="auto" w:sz="4" w:space="0"/>
              <w:right w:val="single" w:color="auto" w:sz="4" w:space="0"/>
            </w:tcBorders>
          </w:tcPr>
          <w:p>
            <w:r>
              <w:t>Impacts of ongoing COVID-19 pandemic or similar public health crisis on the continuity and delivery of the project.</w:t>
            </w:r>
          </w:p>
          <w:p>
            <w:pPr>
              <w:rPr>
                <w:lang w:eastAsia="zh-CN"/>
              </w:rPr>
            </w:pPr>
            <w:r>
              <w:rPr>
                <w:rFonts w:hint="eastAsia"/>
                <w:lang w:eastAsia="zh-CN"/>
              </w:rPr>
              <w:t>持续的新冠肺炎大流行或类似公共卫生危机对项目连续性和交付的影响。</w:t>
            </w:r>
          </w:p>
        </w:tc>
        <w:tc>
          <w:tcPr>
            <w:tcW w:w="656" w:type="pct"/>
            <w:tcBorders>
              <w:top w:val="single" w:color="auto" w:sz="4" w:space="0"/>
              <w:left w:val="single" w:color="auto" w:sz="4" w:space="0"/>
              <w:bottom w:val="single" w:color="auto" w:sz="4" w:space="0"/>
              <w:right w:val="single" w:color="auto" w:sz="4" w:space="0"/>
            </w:tcBorders>
          </w:tcPr>
          <w:p>
            <w:r>
              <w:t>Project implementation activities could be suspended or delayed in case of recurrence of the COVID-19 pandemic or similar. training, field work, and workshops</w:t>
            </w:r>
          </w:p>
          <w:p>
            <w:pPr>
              <w:rPr>
                <w:lang w:eastAsia="zh-CN"/>
              </w:rPr>
            </w:pPr>
            <w:r>
              <w:rPr>
                <w:rFonts w:hint="eastAsia"/>
                <w:lang w:eastAsia="zh-CN"/>
              </w:rPr>
              <w:t>如果新冠肺炎大流行或类似情况再次发生，项目实施活动可能会暂停或推迟。培训、实地工作和研讨会</w:t>
            </w:r>
          </w:p>
        </w:tc>
        <w:tc>
          <w:tcPr>
            <w:tcW w:w="353" w:type="pct"/>
            <w:tcBorders>
              <w:top w:val="single" w:color="auto" w:sz="4" w:space="0"/>
              <w:left w:val="single" w:color="auto" w:sz="4" w:space="0"/>
              <w:bottom w:val="single" w:color="auto" w:sz="4" w:space="0"/>
              <w:right w:val="single" w:color="auto" w:sz="4" w:space="0"/>
            </w:tcBorders>
          </w:tcPr>
          <w:p>
            <w:r>
              <w:t>Completed</w:t>
            </w:r>
          </w:p>
          <w:p>
            <w:r>
              <w:rPr>
                <w:rFonts w:hint="eastAsia"/>
                <w:lang w:eastAsia="zh-CN"/>
              </w:rPr>
              <w:t>完成</w:t>
            </w:r>
          </w:p>
        </w:tc>
        <w:tc>
          <w:tcPr>
            <w:tcW w:w="455" w:type="pct"/>
            <w:tcBorders>
              <w:top w:val="single" w:color="auto" w:sz="4" w:space="0"/>
              <w:left w:val="single" w:color="auto" w:sz="4" w:space="0"/>
              <w:bottom w:val="single" w:color="auto" w:sz="4" w:space="0"/>
              <w:right w:val="single" w:color="auto" w:sz="4" w:space="0"/>
            </w:tcBorders>
          </w:tcPr>
          <w:p>
            <w:r>
              <w:t>I = 3</w:t>
            </w:r>
          </w:p>
          <w:p>
            <w:r>
              <w:t>L = 3</w:t>
            </w:r>
          </w:p>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8"/>
              </w:numPr>
            </w:pPr>
            <w:r>
              <w:t>The COVID-19 has been controlled in China and has been downgraded to Category B and Category B.</w:t>
            </w:r>
          </w:p>
          <w:p>
            <w:pPr>
              <w:pStyle w:val="37"/>
              <w:numPr>
                <w:ilvl w:val="0"/>
                <w:numId w:val="8"/>
              </w:numPr>
            </w:pPr>
            <w:r>
              <w:t>The UNDP CO and the NFGA will guide project responses through proactive correspondence for ongoing situations, as required.</w:t>
            </w:r>
          </w:p>
          <w:p>
            <w:pPr>
              <w:rPr>
                <w:lang w:eastAsia="zh-CN"/>
              </w:rPr>
            </w:pPr>
            <w:r>
              <w:rPr>
                <w:rFonts w:hint="eastAsia"/>
                <w:lang w:eastAsia="zh-CN"/>
              </w:rPr>
              <w:t>采取了两项行动：</w:t>
            </w:r>
          </w:p>
          <w:p>
            <w:pPr>
              <w:rPr>
                <w:lang w:eastAsia="zh-CN"/>
              </w:rPr>
            </w:pPr>
            <w:r>
              <w:rPr>
                <w:rFonts w:hint="eastAsia"/>
                <w:lang w:eastAsia="zh-CN"/>
              </w:rPr>
              <w:t>•新冠肺炎已在中国得到控制，并已降级为乙类。</w:t>
            </w:r>
          </w:p>
          <w:p>
            <w:pPr>
              <w:rPr>
                <w:lang w:eastAsia="zh-CN"/>
              </w:rPr>
            </w:pPr>
          </w:p>
          <w:p>
            <w:pPr>
              <w:rPr>
                <w:lang w:eastAsia="zh-CN"/>
              </w:rPr>
            </w:pPr>
            <w:r>
              <w:rPr>
                <w:rFonts w:hint="eastAsia"/>
                <w:lang w:eastAsia="zh-CN"/>
              </w:rPr>
              <w:t>•UNDP和国家林草局将根据需要，通过积极主动的沟通，指导项目应对工作。</w:t>
            </w:r>
          </w:p>
        </w:tc>
        <w:tc>
          <w:tcPr>
            <w:tcW w:w="505" w:type="pct"/>
            <w:tcBorders>
              <w:top w:val="single" w:color="auto" w:sz="4" w:space="0"/>
              <w:left w:val="single" w:color="auto" w:sz="4" w:space="0"/>
              <w:bottom w:val="single" w:color="auto" w:sz="4" w:space="0"/>
              <w:right w:val="single" w:color="auto" w:sz="4" w:space="0"/>
            </w:tcBorders>
          </w:tcPr>
          <w:p>
            <w:r>
              <w:t>UNDP CO, NFGA</w:t>
            </w:r>
          </w:p>
          <w:p>
            <w:pPr>
              <w:rPr>
                <w:lang w:eastAsia="zh-CN"/>
              </w:rPr>
            </w:pPr>
            <w:r>
              <w:rPr>
                <w:rFonts w:hint="eastAsia"/>
                <w:lang w:eastAsia="zh-CN"/>
              </w:rPr>
              <w:t>UNDP</w:t>
            </w:r>
          </w:p>
          <w:p>
            <w:r>
              <w:rPr>
                <w:rFonts w:hint="eastAsia"/>
                <w:lang w:eastAsia="zh-CN"/>
              </w:rPr>
              <w:t>国家林草局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8</w:t>
            </w:r>
          </w:p>
        </w:tc>
        <w:tc>
          <w:tcPr>
            <w:tcW w:w="556" w:type="pct"/>
            <w:tcBorders>
              <w:top w:val="single" w:color="auto" w:sz="4" w:space="0"/>
              <w:left w:val="single" w:color="auto" w:sz="4" w:space="0"/>
              <w:bottom w:val="single" w:color="auto" w:sz="4" w:space="0"/>
              <w:right w:val="single" w:color="auto" w:sz="4" w:space="0"/>
            </w:tcBorders>
          </w:tcPr>
          <w:p>
            <w:r>
              <w:t>Financial</w:t>
            </w:r>
          </w:p>
          <w:p>
            <w:r>
              <w:rPr>
                <w:rFonts w:hint="eastAsia"/>
                <w:lang w:eastAsia="zh-CN"/>
              </w:rPr>
              <w:t>财务</w:t>
            </w:r>
          </w:p>
        </w:tc>
        <w:tc>
          <w:tcPr>
            <w:tcW w:w="607" w:type="pct"/>
            <w:tcBorders>
              <w:top w:val="single" w:color="auto" w:sz="4" w:space="0"/>
              <w:left w:val="single" w:color="auto" w:sz="4" w:space="0"/>
              <w:bottom w:val="single" w:color="auto" w:sz="4" w:space="0"/>
              <w:right w:val="single" w:color="auto" w:sz="4" w:space="0"/>
            </w:tcBorders>
          </w:tcPr>
          <w:p>
            <w:r>
              <w:t>The macroeconomic externalities such as exchange rate fluctuations and a possible economic recession will occur during project implementation.</w:t>
            </w:r>
          </w:p>
          <w:p>
            <w:pPr>
              <w:rPr>
                <w:lang w:eastAsia="zh-CN"/>
              </w:rPr>
            </w:pPr>
            <w:r>
              <w:rPr>
                <w:rFonts w:hint="eastAsia"/>
                <w:lang w:eastAsia="zh-CN"/>
              </w:rPr>
              <w:t>项目实施过程中将出现宏观经济外部因素，如汇率波动和可能的经济衰退</w:t>
            </w:r>
          </w:p>
        </w:tc>
        <w:tc>
          <w:tcPr>
            <w:tcW w:w="557" w:type="pct"/>
            <w:tcBorders>
              <w:top w:val="single" w:color="auto" w:sz="4" w:space="0"/>
              <w:left w:val="single" w:color="auto" w:sz="4" w:space="0"/>
              <w:bottom w:val="single" w:color="auto" w:sz="4" w:space="0"/>
              <w:right w:val="single" w:color="auto" w:sz="4" w:space="0"/>
            </w:tcBorders>
          </w:tcPr>
          <w:p>
            <w:r>
              <w:t>Impacts of exchange rate fluctuations and/or a possible global economic recession on project delivery.</w:t>
            </w:r>
          </w:p>
          <w:p>
            <w:pPr>
              <w:rPr>
                <w:lang w:eastAsia="zh-CN"/>
              </w:rPr>
            </w:pPr>
            <w:r>
              <w:rPr>
                <w:rFonts w:hint="eastAsia"/>
                <w:lang w:eastAsia="zh-CN"/>
              </w:rPr>
              <w:t>汇率波动和/或可能的全球经济衰退对项目交付的影响。</w:t>
            </w:r>
          </w:p>
        </w:tc>
        <w:tc>
          <w:tcPr>
            <w:tcW w:w="656" w:type="pct"/>
            <w:tcBorders>
              <w:top w:val="single" w:color="auto" w:sz="4" w:space="0"/>
              <w:left w:val="single" w:color="auto" w:sz="4" w:space="0"/>
              <w:bottom w:val="single" w:color="auto" w:sz="4" w:space="0"/>
              <w:right w:val="single" w:color="auto" w:sz="4" w:space="0"/>
            </w:tcBorders>
          </w:tcPr>
          <w:p>
            <w:r>
              <w:t>Project delivery may be impacted by macroeconomic externalities such as exchange rate fluctuations and a possible economic recession.</w:t>
            </w:r>
          </w:p>
          <w:p>
            <w:pPr>
              <w:rPr>
                <w:lang w:eastAsia="zh-CN"/>
              </w:rPr>
            </w:pPr>
            <w:r>
              <w:rPr>
                <w:rFonts w:hint="eastAsia"/>
                <w:lang w:eastAsia="zh-CN"/>
              </w:rPr>
              <w:t>项目交付可能受到宏观经济外部因素的影响，如汇率波动和可能的经济衰退。</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31/12/2024</w:t>
            </w:r>
          </w:p>
        </w:tc>
        <w:tc>
          <w:tcPr>
            <w:tcW w:w="455" w:type="pct"/>
            <w:tcBorders>
              <w:top w:val="single" w:color="auto" w:sz="4" w:space="0"/>
              <w:left w:val="single" w:color="auto" w:sz="4" w:space="0"/>
              <w:bottom w:val="single" w:color="auto" w:sz="4" w:space="0"/>
              <w:right w:val="single" w:color="auto" w:sz="4" w:space="0"/>
            </w:tcBorders>
          </w:tcPr>
          <w:p>
            <w:r>
              <w:t>I = 3</w:t>
            </w:r>
          </w:p>
          <w:p>
            <w:r>
              <w:t>L = 2</w:t>
            </w:r>
          </w:p>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8"/>
              </w:numPr>
            </w:pPr>
            <w:r>
              <w:t>The Chinese economy has demonstrated a robust recovery momentum in 2023. In just a few short months, it has undergone a transformation from the low point of the pandemic to a rapid upturn. This is not expected to have a significant impact on the project.</w:t>
            </w:r>
          </w:p>
          <w:p>
            <w:pPr>
              <w:pStyle w:val="37"/>
              <w:numPr>
                <w:ilvl w:val="0"/>
                <w:numId w:val="8"/>
              </w:numPr>
            </w:pPr>
            <w:r>
              <w:t>GEF-financed projects have been implemented in China over the past decade with limited impacts associated with currency fluctuation. Inflation rates in recent years been close to 2%.</w:t>
            </w:r>
          </w:p>
          <w:p>
            <w:pPr>
              <w:ind w:left="360" w:hanging="360"/>
            </w:pPr>
            <w:r>
              <w:rPr>
                <w:rFonts w:hint="eastAsia"/>
              </w:rPr>
              <w:t>采取了两项行动：</w:t>
            </w:r>
          </w:p>
          <w:p>
            <w:pPr>
              <w:rPr>
                <w:lang w:eastAsia="zh-CN"/>
              </w:rPr>
            </w:pPr>
            <w:r>
              <w:rPr>
                <w:rFonts w:hint="eastAsia"/>
                <w:lang w:eastAsia="zh-CN"/>
              </w:rPr>
              <w:t>•</w:t>
            </w:r>
            <w:r>
              <w:rPr>
                <w:lang w:eastAsia="zh-CN"/>
              </w:rPr>
              <w:t>2023</w:t>
            </w:r>
            <w:r>
              <w:rPr>
                <w:rFonts w:hint="eastAsia"/>
                <w:lang w:eastAsia="zh-CN"/>
              </w:rPr>
              <w:t>年，中国经济呈现强劲复苏势头。在短短几个月内，它经历了从疫情低谷到迅速好转的转变。预计这不会对项目产生重大影响。</w:t>
            </w:r>
          </w:p>
          <w:p>
            <w:pPr>
              <w:ind w:left="360" w:hanging="360"/>
              <w:rPr>
                <w:lang w:eastAsia="zh-CN"/>
              </w:rPr>
            </w:pPr>
          </w:p>
          <w:p>
            <w:pPr>
              <w:rPr>
                <w:lang w:eastAsia="zh-CN"/>
              </w:rPr>
            </w:pPr>
            <w:r>
              <w:rPr>
                <w:rFonts w:hint="eastAsia"/>
                <w:lang w:eastAsia="zh-CN"/>
              </w:rPr>
              <w:t>•过去十年，全球环境基金资助的项目在中国实施，但与货币波动相关的影响有限。近年来的通货膨胀率接近</w:t>
            </w:r>
            <w:r>
              <w:rPr>
                <w:lang w:eastAsia="zh-CN"/>
              </w:rPr>
              <w:t>2%</w:t>
            </w:r>
            <w:r>
              <w:rPr>
                <w:rFonts w:hint="eastAsia"/>
                <w:lang w:eastAsia="zh-CN"/>
              </w:rPr>
              <w:t>。</w:t>
            </w:r>
          </w:p>
        </w:tc>
        <w:tc>
          <w:tcPr>
            <w:tcW w:w="505" w:type="pct"/>
            <w:tcBorders>
              <w:top w:val="single" w:color="auto" w:sz="4" w:space="0"/>
              <w:left w:val="single" w:color="auto" w:sz="4" w:space="0"/>
              <w:bottom w:val="single" w:color="auto" w:sz="4" w:space="0"/>
              <w:right w:val="single" w:color="auto" w:sz="4" w:space="0"/>
            </w:tcBorders>
          </w:tcPr>
          <w:p>
            <w:r>
              <w:t>UNDP, NFGA</w:t>
            </w:r>
          </w:p>
          <w:p>
            <w:pPr>
              <w:rPr>
                <w:lang w:eastAsia="zh-CN"/>
              </w:rPr>
            </w:pPr>
            <w:r>
              <w:rPr>
                <w:rFonts w:hint="eastAsia"/>
                <w:lang w:eastAsia="zh-CN"/>
              </w:rPr>
              <w:t>UNDP</w:t>
            </w:r>
          </w:p>
          <w:p>
            <w:r>
              <w:rPr>
                <w:rFonts w:hint="eastAsia"/>
                <w:lang w:eastAsia="zh-CN"/>
              </w:rPr>
              <w:t>国家林草局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rPr>
                <w:rFonts w:hint="eastAsia"/>
              </w:rPr>
              <w:t>1</w:t>
            </w:r>
            <w:r>
              <w:t>9</w:t>
            </w:r>
          </w:p>
        </w:tc>
        <w:tc>
          <w:tcPr>
            <w:tcW w:w="556" w:type="pct"/>
            <w:tcBorders>
              <w:top w:val="single" w:color="auto" w:sz="4" w:space="0"/>
              <w:left w:val="single" w:color="auto" w:sz="4" w:space="0"/>
              <w:bottom w:val="single" w:color="auto" w:sz="4" w:space="0"/>
              <w:right w:val="single" w:color="auto" w:sz="4" w:space="0"/>
            </w:tcBorders>
          </w:tcPr>
          <w:p>
            <w:r>
              <w:t>Organizational, Social and environmental, Political</w:t>
            </w:r>
          </w:p>
          <w:p>
            <w:pPr>
              <w:rPr>
                <w:lang w:eastAsia="zh-CN"/>
              </w:rPr>
            </w:pPr>
            <w:r>
              <w:rPr>
                <w:rFonts w:hint="eastAsia"/>
                <w:lang w:eastAsia="zh-CN"/>
              </w:rPr>
              <w:t>组织、社会和环境、政治</w:t>
            </w:r>
          </w:p>
        </w:tc>
        <w:tc>
          <w:tcPr>
            <w:tcW w:w="607" w:type="pct"/>
            <w:tcBorders>
              <w:top w:val="single" w:color="auto" w:sz="4" w:space="0"/>
              <w:left w:val="single" w:color="auto" w:sz="4" w:space="0"/>
              <w:bottom w:val="single" w:color="auto" w:sz="4" w:space="0"/>
              <w:right w:val="single" w:color="auto" w:sz="4" w:space="0"/>
            </w:tcBorders>
          </w:tcPr>
          <w:p>
            <w:r>
              <w:t xml:space="preserve">one or more of the co-financing private sector companies </w:t>
            </w:r>
            <w:r>
              <w:rPr>
                <w:rFonts w:hint="eastAsia"/>
              </w:rPr>
              <w:t>fail</w:t>
            </w:r>
            <w:r>
              <w:t xml:space="preserve"> to meet UNDP’s Social and Environmental Standards in project implementation.</w:t>
            </w:r>
            <w:r>
              <w:rPr>
                <w:rFonts w:hint="eastAsia"/>
              </w:rPr>
              <w:t xml:space="preserve"> </w:t>
            </w:r>
          </w:p>
          <w:p>
            <w:pPr>
              <w:rPr>
                <w:lang w:eastAsia="zh-CN"/>
              </w:rPr>
            </w:pPr>
            <w:r>
              <w:rPr>
                <w:rFonts w:hint="eastAsia"/>
                <w:lang w:eastAsia="zh-CN"/>
              </w:rPr>
              <w:t>一家或多家共同出资的私营部门公司在项目实施中未能达到联合国开发计划署的社会和环境标准</w:t>
            </w:r>
          </w:p>
        </w:tc>
        <w:tc>
          <w:tcPr>
            <w:tcW w:w="557" w:type="pct"/>
            <w:tcBorders>
              <w:top w:val="single" w:color="auto" w:sz="4" w:space="0"/>
              <w:left w:val="single" w:color="auto" w:sz="4" w:space="0"/>
              <w:bottom w:val="single" w:color="auto" w:sz="4" w:space="0"/>
              <w:right w:val="single" w:color="auto" w:sz="4" w:space="0"/>
            </w:tcBorders>
          </w:tcPr>
          <w:p>
            <w:r>
              <w:t>Unfavorable environmental, social and governance (ESG) related issues arise with one or more of the co-financing private sector companies, due to a failure to meet UNDP’s Social and Environmental Standards in project implementation.  In particular issues related economic  displacement, conflict in land tenure and/or  ownership, conflict with ethnic minorities, exposure to hazardous chemicals.</w:t>
            </w:r>
          </w:p>
          <w:p>
            <w:pPr>
              <w:rPr>
                <w:lang w:eastAsia="zh-CN"/>
              </w:rPr>
            </w:pPr>
            <w:r>
              <w:rPr>
                <w:rFonts w:hint="eastAsia"/>
                <w:lang w:eastAsia="zh-CN"/>
              </w:rPr>
              <w:t>一家或多家共同融资的私营部门公司由于在项目实施中未能达到开发署的社会和环境标准，出现了与环境、社会和治理相关的不利问题。特别是与经济流离失所、土地保有权和（或）所有权冲突、与少数民族的冲突、接触危险化学品有关的问题。</w:t>
            </w:r>
          </w:p>
        </w:tc>
        <w:tc>
          <w:tcPr>
            <w:tcW w:w="656" w:type="pct"/>
            <w:tcBorders>
              <w:top w:val="single" w:color="auto" w:sz="4" w:space="0"/>
              <w:left w:val="single" w:color="auto" w:sz="4" w:space="0"/>
              <w:bottom w:val="single" w:color="auto" w:sz="4" w:space="0"/>
              <w:right w:val="single" w:color="auto" w:sz="4" w:space="0"/>
            </w:tcBorders>
          </w:tcPr>
          <w:p>
            <w:r>
              <w:t>Potential adverse social and/or environmental impacts could undermine the gains achieved on the project.</w:t>
            </w:r>
          </w:p>
          <w:p>
            <w:r>
              <w:t>Poor publicity for UNDP, potentially impacting the viability of the cooperation with the private sector co-financing company.</w:t>
            </w:r>
          </w:p>
          <w:p>
            <w:pPr>
              <w:rPr>
                <w:lang w:eastAsia="zh-CN"/>
              </w:rPr>
            </w:pPr>
            <w:r>
              <w:rPr>
                <w:rFonts w:hint="eastAsia"/>
                <w:lang w:eastAsia="zh-CN"/>
              </w:rPr>
              <w:t>潜在的不利社会和/或环境影响可能会破坏项目取得的成果。</w:t>
            </w:r>
          </w:p>
          <w:p>
            <w:pPr>
              <w:rPr>
                <w:lang w:eastAsia="zh-CN"/>
              </w:rPr>
            </w:pPr>
          </w:p>
          <w:p>
            <w:pPr>
              <w:rPr>
                <w:lang w:eastAsia="zh-CN"/>
              </w:rPr>
            </w:pPr>
            <w:r>
              <w:rPr>
                <w:rFonts w:hint="eastAsia"/>
                <w:lang w:eastAsia="zh-CN"/>
              </w:rPr>
              <w:t>开发计划署宣传不力，可能影响与私营部门共同融资公司合作的可行性。</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31/12/2026</w:t>
            </w:r>
          </w:p>
        </w:tc>
        <w:tc>
          <w:tcPr>
            <w:tcW w:w="455" w:type="pct"/>
            <w:tcBorders>
              <w:top w:val="single" w:color="auto" w:sz="4" w:space="0"/>
              <w:left w:val="single" w:color="auto" w:sz="4" w:space="0"/>
              <w:bottom w:val="single" w:color="auto" w:sz="4" w:space="0"/>
              <w:right w:val="single" w:color="auto" w:sz="4" w:space="0"/>
            </w:tcBorders>
          </w:tcPr>
          <w:p>
            <w:r>
              <w:t>L=2</w:t>
            </w:r>
          </w:p>
          <w:p>
            <w:r>
              <w:t>I=3</w:t>
            </w:r>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7"/>
              </w:numPr>
            </w:pPr>
            <w:r>
              <w:t>The project has invited private sector co-financing companies as members of the multi-stakeholder, multi-level landscape mechanisms.</w:t>
            </w:r>
          </w:p>
          <w:p>
            <w:pPr>
              <w:pStyle w:val="37"/>
              <w:numPr>
                <w:ilvl w:val="0"/>
                <w:numId w:val="7"/>
              </w:numPr>
            </w:pPr>
            <w:r>
              <w:t>On September 26, 2023, Gender and Safegurad Specialist and UNDP Staff conducted systematic training for stakeholders, including private sector co-financing companies, for the five landscape restoration areas to explain the UNDP social and environmental standards and principles.</w:t>
            </w:r>
          </w:p>
          <w:p>
            <w:pPr>
              <w:rPr>
                <w:lang w:eastAsia="zh-CN"/>
              </w:rPr>
            </w:pPr>
            <w:r>
              <w:rPr>
                <w:rFonts w:hint="eastAsia"/>
                <w:lang w:eastAsia="zh-CN"/>
              </w:rPr>
              <w:t>采取了两项行动：</w:t>
            </w:r>
          </w:p>
          <w:p>
            <w:pPr>
              <w:rPr>
                <w:lang w:eastAsia="zh-CN"/>
              </w:rPr>
            </w:pPr>
          </w:p>
          <w:p>
            <w:pPr>
              <w:rPr>
                <w:lang w:eastAsia="zh-CN"/>
              </w:rPr>
            </w:pPr>
            <w:r>
              <w:rPr>
                <w:rFonts w:hint="eastAsia"/>
                <w:lang w:eastAsia="zh-CN"/>
              </w:rPr>
              <w:t>•该项目邀请私营部门共同融资公司作为多方利益相关方、多层级景观机制的成员。</w:t>
            </w:r>
          </w:p>
          <w:p>
            <w:pPr>
              <w:rPr>
                <w:lang w:eastAsia="zh-CN"/>
              </w:rPr>
            </w:pPr>
          </w:p>
          <w:p>
            <w:pPr>
              <w:rPr>
                <w:lang w:eastAsia="zh-CN"/>
              </w:rPr>
            </w:pPr>
            <w:r>
              <w:rPr>
                <w:rFonts w:hint="eastAsia"/>
                <w:lang w:eastAsia="zh-CN"/>
              </w:rPr>
              <w:t>•2023年9月26日，性别与社会环境保障专家和联合国开发计划署工作人员为包括私营部门共同融资公司在内的利益</w:t>
            </w:r>
            <w:r>
              <w:rPr>
                <w:rFonts w:hint="eastAsia"/>
                <w:lang w:val="en-US" w:eastAsia="zh-CN"/>
              </w:rPr>
              <w:t>相</w:t>
            </w:r>
            <w:r>
              <w:rPr>
                <w:rFonts w:hint="eastAsia"/>
                <w:lang w:eastAsia="zh-CN"/>
              </w:rPr>
              <w:t>关方</w:t>
            </w:r>
            <w:r>
              <w:rPr>
                <w:rFonts w:hint="eastAsia"/>
                <w:lang w:val="en-US" w:eastAsia="zh-CN"/>
              </w:rPr>
              <w:t>准备了</w:t>
            </w:r>
            <w:r>
              <w:rPr>
                <w:rFonts w:hint="eastAsia"/>
                <w:lang w:eastAsia="zh-CN"/>
              </w:rPr>
              <w:t>系统培训，以解释联合国开发署的社会和环境标准和原则。</w:t>
            </w:r>
          </w:p>
        </w:tc>
        <w:tc>
          <w:tcPr>
            <w:tcW w:w="505" w:type="pct"/>
            <w:tcBorders>
              <w:top w:val="single" w:color="auto" w:sz="4" w:space="0"/>
              <w:left w:val="single" w:color="auto" w:sz="4" w:space="0"/>
              <w:bottom w:val="single" w:color="auto" w:sz="4" w:space="0"/>
              <w:right w:val="single" w:color="auto" w:sz="4" w:space="0"/>
            </w:tcBorders>
          </w:tcPr>
          <w:p>
            <w:r>
              <w:t>Social and environmental Safeguard Specialist, Project Manager, UNDP CO</w:t>
            </w:r>
          </w:p>
          <w:p>
            <w:pPr>
              <w:rPr>
                <w:lang w:eastAsia="zh-CN"/>
              </w:rPr>
            </w:pPr>
            <w:r>
              <w:rPr>
                <w:rFonts w:hint="eastAsia"/>
                <w:lang w:eastAsia="zh-CN"/>
              </w:rPr>
              <w:t xml:space="preserve">性别与社会环境保障专家，项目经理，UNDP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 w:type="pct"/>
            <w:tcBorders>
              <w:top w:val="single" w:color="auto" w:sz="4" w:space="0"/>
              <w:left w:val="single" w:color="auto" w:sz="4" w:space="0"/>
              <w:bottom w:val="single" w:color="auto" w:sz="4" w:space="0"/>
              <w:right w:val="single" w:color="auto" w:sz="4" w:space="0"/>
            </w:tcBorders>
          </w:tcPr>
          <w:p>
            <w:r>
              <w:t>20</w:t>
            </w:r>
          </w:p>
        </w:tc>
        <w:tc>
          <w:tcPr>
            <w:tcW w:w="556" w:type="pct"/>
            <w:tcBorders>
              <w:top w:val="single" w:color="auto" w:sz="4" w:space="0"/>
              <w:left w:val="single" w:color="auto" w:sz="4" w:space="0"/>
              <w:bottom w:val="single" w:color="auto" w:sz="4" w:space="0"/>
              <w:right w:val="single" w:color="auto" w:sz="4" w:space="0"/>
            </w:tcBorders>
          </w:tcPr>
          <w:p>
            <w:r>
              <w:t>Organizational, Regulatory, Political</w:t>
            </w:r>
          </w:p>
          <w:p>
            <w:r>
              <w:rPr>
                <w:rFonts w:hint="eastAsia"/>
              </w:rPr>
              <w:t>组织、监管、政治</w:t>
            </w:r>
          </w:p>
        </w:tc>
        <w:tc>
          <w:tcPr>
            <w:tcW w:w="607" w:type="pct"/>
            <w:tcBorders>
              <w:top w:val="single" w:color="auto" w:sz="4" w:space="0"/>
              <w:left w:val="single" w:color="auto" w:sz="4" w:space="0"/>
              <w:bottom w:val="single" w:color="auto" w:sz="4" w:space="0"/>
              <w:right w:val="single" w:color="auto" w:sz="4" w:space="0"/>
            </w:tcBorders>
          </w:tcPr>
          <w:p>
            <w:r>
              <w:t>The co</w:t>
            </w:r>
            <w:r>
              <w:rPr>
                <w:rFonts w:hint="eastAsia"/>
              </w:rPr>
              <w:t>-</w:t>
            </w:r>
            <w:r>
              <w:t>financing private sector companies did not comply with relevant laws or regulations</w:t>
            </w:r>
          </w:p>
          <w:p>
            <w:pPr>
              <w:rPr>
                <w:lang w:eastAsia="zh-CN"/>
              </w:rPr>
            </w:pPr>
            <w:r>
              <w:rPr>
                <w:rFonts w:hint="eastAsia"/>
                <w:lang w:eastAsia="zh-CN"/>
              </w:rPr>
              <w:t>共同融资的私营企业不符合相关法律法规</w:t>
            </w:r>
          </w:p>
        </w:tc>
        <w:tc>
          <w:tcPr>
            <w:tcW w:w="557" w:type="pct"/>
            <w:tcBorders>
              <w:top w:val="single" w:color="auto" w:sz="4" w:space="0"/>
              <w:left w:val="single" w:color="auto" w:sz="4" w:space="0"/>
              <w:bottom w:val="single" w:color="auto" w:sz="4" w:space="0"/>
              <w:right w:val="single" w:color="auto" w:sz="4" w:space="0"/>
            </w:tcBorders>
          </w:tcPr>
          <w:p>
            <w:r>
              <w:t>One of more of the co-financing private sector companies violates national law or disputes arise with local government agencies or project-affected communities.</w:t>
            </w:r>
          </w:p>
          <w:p>
            <w:pPr>
              <w:rPr>
                <w:lang w:eastAsia="zh-CN"/>
              </w:rPr>
            </w:pPr>
            <w:r>
              <w:rPr>
                <w:rFonts w:hint="eastAsia"/>
                <w:lang w:eastAsia="zh-CN"/>
              </w:rPr>
              <w:t>一家或多家共同融资的私营部门公司违反了国家法律，或与当地政府机构或受项目影响的社区发生纠纷。</w:t>
            </w:r>
          </w:p>
        </w:tc>
        <w:tc>
          <w:tcPr>
            <w:tcW w:w="656" w:type="pct"/>
            <w:tcBorders>
              <w:top w:val="single" w:color="auto" w:sz="4" w:space="0"/>
              <w:left w:val="single" w:color="auto" w:sz="4" w:space="0"/>
              <w:bottom w:val="single" w:color="auto" w:sz="4" w:space="0"/>
              <w:right w:val="single" w:color="auto" w:sz="4" w:space="0"/>
            </w:tcBorders>
          </w:tcPr>
          <w:p>
            <w:r>
              <w:t>This could affect the project's impact and even the reputation of UNDP</w:t>
            </w:r>
          </w:p>
          <w:p>
            <w:pPr>
              <w:rPr>
                <w:lang w:eastAsia="zh-CN"/>
              </w:rPr>
            </w:pPr>
            <w:r>
              <w:rPr>
                <w:rFonts w:hint="eastAsia"/>
                <w:lang w:eastAsia="zh-CN"/>
              </w:rPr>
              <w:t>这可能会影响项目的影响，甚至影响开发计划署的声誉</w:t>
            </w:r>
          </w:p>
        </w:tc>
        <w:tc>
          <w:tcPr>
            <w:tcW w:w="353" w:type="pct"/>
            <w:tcBorders>
              <w:top w:val="single" w:color="auto" w:sz="4" w:space="0"/>
              <w:left w:val="single" w:color="auto" w:sz="4" w:space="0"/>
              <w:bottom w:val="single" w:color="auto" w:sz="4" w:space="0"/>
              <w:right w:val="single" w:color="auto" w:sz="4" w:space="0"/>
            </w:tcBorders>
          </w:tcPr>
          <w:p>
            <w:r>
              <w:t>Ongoing</w:t>
            </w:r>
          </w:p>
          <w:p>
            <w:r>
              <w:t>09/01/2023 to 31/12/2027</w:t>
            </w:r>
          </w:p>
        </w:tc>
        <w:tc>
          <w:tcPr>
            <w:tcW w:w="455" w:type="pct"/>
            <w:tcBorders>
              <w:top w:val="single" w:color="auto" w:sz="4" w:space="0"/>
              <w:left w:val="single" w:color="auto" w:sz="4" w:space="0"/>
              <w:bottom w:val="single" w:color="auto" w:sz="4" w:space="0"/>
              <w:right w:val="single" w:color="auto" w:sz="4" w:space="0"/>
            </w:tcBorders>
          </w:tcPr>
          <w:p>
            <w:r>
              <w:t>L=2</w:t>
            </w:r>
          </w:p>
          <w:p>
            <w:r>
              <w:t>I=3</w:t>
            </w:r>
          </w:p>
        </w:tc>
        <w:tc>
          <w:tcPr>
            <w:tcW w:w="1112" w:type="pct"/>
            <w:tcBorders>
              <w:top w:val="single" w:color="auto" w:sz="4" w:space="0"/>
              <w:left w:val="single" w:color="auto" w:sz="4" w:space="0"/>
              <w:bottom w:val="single" w:color="auto" w:sz="4" w:space="0"/>
              <w:right w:val="single" w:color="auto" w:sz="4" w:space="0"/>
            </w:tcBorders>
          </w:tcPr>
          <w:p>
            <w:pPr>
              <w:ind w:left="360" w:hanging="360"/>
            </w:pPr>
            <w:r>
              <w:t>Two actions were taken:</w:t>
            </w:r>
          </w:p>
          <w:p>
            <w:pPr>
              <w:pStyle w:val="37"/>
              <w:numPr>
                <w:ilvl w:val="0"/>
                <w:numId w:val="9"/>
              </w:numPr>
            </w:pPr>
            <w:r>
              <w:rPr>
                <w:rFonts w:hint="eastAsia"/>
              </w:rPr>
              <w:t>T</w:t>
            </w:r>
            <w:r>
              <w:t>he project has conducted checks on the co-financing private sector companies, including their financial status and whether there are any legal violations.</w:t>
            </w:r>
          </w:p>
          <w:p>
            <w:pPr>
              <w:pStyle w:val="37"/>
              <w:numPr>
                <w:ilvl w:val="0"/>
                <w:numId w:val="9"/>
              </w:numPr>
            </w:pPr>
            <w:r>
              <w:t>The project is conducting regular monitoring of the activities and finances of private companies involved to ensure that project activities did not violate relevant laws and regulations.</w:t>
            </w:r>
          </w:p>
          <w:p>
            <w:pPr>
              <w:ind w:left="360" w:hanging="360"/>
              <w:rPr>
                <w:lang w:eastAsia="zh-CN"/>
              </w:rPr>
            </w:pPr>
            <w:r>
              <w:rPr>
                <w:rFonts w:hint="eastAsia"/>
                <w:lang w:eastAsia="zh-CN"/>
              </w:rPr>
              <w:t>采取了两项行动：</w:t>
            </w:r>
          </w:p>
          <w:p>
            <w:pPr>
              <w:ind w:left="360" w:hanging="360"/>
              <w:rPr>
                <w:lang w:eastAsia="zh-CN"/>
              </w:rPr>
            </w:pPr>
          </w:p>
          <w:p>
            <w:pPr>
              <w:rPr>
                <w:lang w:eastAsia="zh-CN"/>
              </w:rPr>
            </w:pPr>
            <w:r>
              <w:rPr>
                <w:rFonts w:hint="eastAsia"/>
                <w:lang w:eastAsia="zh-CN"/>
              </w:rPr>
              <w:t>•该项目对共同资助的私营部门公司进行了调查，包括其财务状况以及是否存在任何违法行为。</w:t>
            </w:r>
          </w:p>
          <w:p>
            <w:pPr>
              <w:rPr>
                <w:lang w:eastAsia="zh-CN"/>
              </w:rPr>
            </w:pPr>
          </w:p>
          <w:p>
            <w:pPr>
              <w:rPr>
                <w:lang w:eastAsia="zh-CN"/>
              </w:rPr>
            </w:pPr>
            <w:r>
              <w:rPr>
                <w:rFonts w:hint="eastAsia"/>
                <w:lang w:eastAsia="zh-CN"/>
              </w:rPr>
              <w:t>•该项目正在对参与的私营公司的活动和财务进行定期监测，以确保项目活动不违反相关法律法规。</w:t>
            </w:r>
          </w:p>
        </w:tc>
        <w:tc>
          <w:tcPr>
            <w:tcW w:w="505" w:type="pct"/>
            <w:tcBorders>
              <w:top w:val="single" w:color="auto" w:sz="4" w:space="0"/>
              <w:left w:val="single" w:color="auto" w:sz="4" w:space="0"/>
              <w:bottom w:val="single" w:color="auto" w:sz="4" w:space="0"/>
              <w:right w:val="single" w:color="auto" w:sz="4" w:space="0"/>
            </w:tcBorders>
          </w:tcPr>
          <w:p>
            <w:r>
              <w:t>Project Manager, National Technical Advisor, Sustainable Forest Management Specialist, NFGA, UNDP CO</w:t>
            </w:r>
          </w:p>
          <w:p>
            <w:pPr>
              <w:rPr>
                <w:lang w:eastAsia="zh-CN"/>
              </w:rPr>
            </w:pPr>
            <w:r>
              <w:rPr>
                <w:rFonts w:hint="eastAsia"/>
                <w:lang w:eastAsia="zh-CN"/>
              </w:rPr>
              <w:t xml:space="preserve">项目经理、国家技术顾问、可持续森林管理专家、国家林草局、UNDP </w:t>
            </w:r>
          </w:p>
        </w:tc>
      </w:tr>
    </w:tbl>
    <w:p>
      <w:pPr>
        <w:rPr>
          <w:lang w:eastAsia="zh-CN"/>
        </w:rPr>
      </w:pPr>
    </w:p>
    <w:p>
      <w:pPr>
        <w:pStyle w:val="2"/>
      </w:pPr>
      <w:r>
        <w:t xml:space="preserve">D. GENDER </w:t>
      </w:r>
      <w:r>
        <w:rPr>
          <w:rFonts w:hint="eastAsia"/>
          <w:lang w:eastAsia="zh-CN"/>
        </w:rPr>
        <w:t>性别</w:t>
      </w:r>
    </w:p>
    <w:p>
      <w:pPr>
        <w:rPr>
          <w:rFonts w:cstheme="minorHAnsi"/>
        </w:rPr>
      </w:pPr>
    </w:p>
    <w:p>
      <w:pPr>
        <w:pStyle w:val="20"/>
      </w:pPr>
      <w:r>
        <w:rPr>
          <w:b/>
          <w:bCs/>
        </w:rPr>
        <w:t>Guidance</w:t>
      </w:r>
      <w:r>
        <w:t xml:space="preserve">. please provide </w:t>
      </w:r>
      <w:r>
        <w:rPr>
          <w:b/>
          <w:bCs/>
        </w:rPr>
        <w:t>details</w:t>
      </w:r>
      <w:r>
        <w:t xml:space="preserve"> on incorporation of gender perspectives in various aspects of project management. Please provide quantitative data, qualitative case studies and success stories whenever necessary to illustrate the most significant contributions to gender equality.</w:t>
      </w:r>
    </w:p>
    <w:p>
      <w:pPr>
        <w:rPr>
          <w:rFonts w:cstheme="minorHAnsi"/>
        </w:rPr>
      </w:pPr>
    </w:p>
    <w:p>
      <w:pPr>
        <w:rPr>
          <w:rFonts w:cstheme="minorHAnsi"/>
          <w:b/>
        </w:rPr>
      </w:pPr>
      <w:r>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 xml:space="preserve">GEN-3; </w:t>
      </w:r>
      <w:sdt>
        <w:sdtPr>
          <w:rPr>
            <w:rFonts w:cstheme="minorHAnsi"/>
          </w:rPr>
          <w:id w:val="-1514375765"/>
          <w14:checkbox>
            <w14:checked w14:val="1"/>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GEN-2</w:t>
      </w:r>
      <w:r>
        <w:rPr>
          <w:rFonts w:cstheme="minorHAnsi"/>
        </w:rPr>
        <w:t xml:space="preserve">; </w:t>
      </w:r>
      <w:sdt>
        <w:sdtPr>
          <w:rPr>
            <w:rFonts w:cstheme="minorHAnsi"/>
          </w:rPr>
          <w:id w:val="2128356693"/>
          <w14:checkbox>
            <w14:checked w14:val="0"/>
            <w14:checkedState w14:val="2612" w14:font="MS Gothic"/>
            <w14:uncheckedState w14:val="2610" w14:font="MS Gothic"/>
          </w14:checkbox>
        </w:sdtPr>
        <w:sdtEndPr>
          <w:rPr>
            <w:rFonts w:cstheme="minorHAnsi"/>
          </w:rPr>
        </w:sdtEndPr>
        <w:sdtContent>
          <w:r>
            <w:rPr>
              <w:rFonts w:hint="eastAsia" w:ascii="MS Gothic" w:hAnsi="MS Gothic" w:eastAsia="MS Gothic" w:cstheme="minorHAnsi"/>
            </w:rPr>
            <w:t>☐</w:t>
          </w:r>
        </w:sdtContent>
      </w:sdt>
      <w:r>
        <w:rPr>
          <w:rFonts w:cstheme="minorHAnsi"/>
          <w:b/>
          <w:bCs/>
        </w:rPr>
        <w:t>GEN-1</w:t>
      </w:r>
    </w:p>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6068"/>
        <w:gridCol w:w="7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shd w:val="clear" w:color="auto" w:fill="0070C0"/>
          </w:tcPr>
          <w:p>
            <w:pPr>
              <w:rPr>
                <w:rFonts w:eastAsiaTheme="minorEastAsia"/>
                <w:b/>
                <w:bCs/>
              </w:rPr>
            </w:pPr>
            <w:r>
              <w:rPr>
                <w:rFonts w:eastAsiaTheme="minorEastAsia"/>
                <w:b/>
                <w:bCs/>
                <w:color w:val="FFFFFF" w:themeColor="background1"/>
                <w14:textFill>
                  <w14:solidFill>
                    <w14:schemeClr w14:val="bg1"/>
                  </w14:solidFill>
                </w14:textFill>
              </w:rPr>
              <w:t xml:space="preserve">Outputs </w:t>
            </w:r>
            <w:r>
              <w:rPr>
                <w:rFonts w:hint="eastAsia" w:eastAsiaTheme="minorEastAsia"/>
                <w:b/>
                <w:bCs/>
                <w:color w:val="FFFFFF" w:themeColor="background1"/>
                <w:lang w:eastAsia="zh-CN"/>
                <w14:textFill>
                  <w14:solidFill>
                    <w14:schemeClr w14:val="bg1"/>
                  </w14:solidFill>
                </w14:textFill>
              </w:rPr>
              <w:t>产出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tcPr>
          <w:p>
            <w:pPr>
              <w:rPr>
                <w:rFonts w:eastAsiaTheme="minorEastAsia"/>
              </w:rPr>
            </w:pPr>
            <w:r>
              <w:rPr>
                <w:rFonts w:eastAsiaTheme="minorEastAsia"/>
              </w:rPr>
              <w:t>1</w:t>
            </w:r>
          </w:p>
        </w:tc>
        <w:tc>
          <w:tcPr>
            <w:tcW w:w="2141" w:type="pct"/>
          </w:tcPr>
          <w:p>
            <w:pPr>
              <w:rPr>
                <w:rFonts w:eastAsiaTheme="minorEastAsia"/>
              </w:rPr>
            </w:pPr>
            <w:r>
              <w:rPr>
                <w:rFonts w:eastAsiaTheme="minorEastAsia"/>
              </w:rPr>
              <w:t>Please describe all activities undertaken within this project during the reporting year that directly or indirectly contributed to the advancement of women’s empowerment and gender equality. This may include initiatives promoting women's economic empowerment, enhancing women's decision-making capacities, and changing the harmful gender bias and stereotypes, etc.</w:t>
            </w:r>
          </w:p>
          <w:p>
            <w:pPr>
              <w:rPr>
                <w:rFonts w:eastAsiaTheme="minorEastAsia"/>
                <w:lang w:eastAsia="zh-CN"/>
              </w:rPr>
            </w:pPr>
            <w:r>
              <w:rPr>
                <w:rFonts w:hint="eastAsia" w:eastAsiaTheme="minorEastAsia"/>
                <w:lang w:eastAsia="zh-CN"/>
              </w:rPr>
              <w:t>请说明本报告年度在本项目范围内开展的所有直接或间接有助于提高妇女权能和两性平等的活动。这可能包括促进赋予妇女经济权力、提高妇女决策能力、改变有害的性别偏见和陈规定型观念等举措。</w:t>
            </w:r>
          </w:p>
        </w:tc>
        <w:tc>
          <w:tcPr>
            <w:tcW w:w="2664" w:type="pct"/>
          </w:tcPr>
          <w:p>
            <w:pPr>
              <w:rPr>
                <w:rFonts w:eastAsiaTheme="minorEastAsia"/>
              </w:rPr>
            </w:pPr>
            <w:r>
              <w:rPr>
                <w:rFonts w:hint="eastAsia" w:eastAsiaTheme="minorEastAsia"/>
              </w:rPr>
              <w:t>T</w:t>
            </w:r>
            <w:r>
              <w:rPr>
                <w:rFonts w:eastAsiaTheme="minorEastAsia"/>
              </w:rPr>
              <w:t>he Inception workshop, including project board meeting, project workshop, stakeholder workshop, advocacy events and trainings from UNDP was held on 25-26 September, 2023 in Changting, Fujian.  13 of 49 participants were female.</w:t>
            </w:r>
          </w:p>
          <w:p>
            <w:pPr>
              <w:rPr>
                <w:rFonts w:eastAsiaTheme="minorEastAsia"/>
              </w:rPr>
            </w:pPr>
            <w:r>
              <w:rPr>
                <w:rFonts w:hint="eastAsia" w:eastAsiaTheme="minorEastAsia"/>
              </w:rPr>
              <w:t>A</w:t>
            </w:r>
            <w:r>
              <w:rPr>
                <w:rFonts w:eastAsiaTheme="minorEastAsia"/>
              </w:rPr>
              <w:t xml:space="preserve"> Gender-Safeguard specialist has been recruited.</w:t>
            </w:r>
          </w:p>
          <w:p>
            <w:pPr>
              <w:rPr>
                <w:rFonts w:eastAsiaTheme="minorEastAsia"/>
              </w:rPr>
            </w:pPr>
            <w:r>
              <w:rPr>
                <w:rFonts w:hint="eastAsia" w:eastAsiaTheme="minorEastAsia"/>
              </w:rPr>
              <w:t>C</w:t>
            </w:r>
            <w:r>
              <w:rPr>
                <w:rFonts w:eastAsiaTheme="minorEastAsia"/>
              </w:rPr>
              <w:t>ompanies offering services on organizing awareness raising and advocacy campaigns, and ones taking charge of KAP surveys were chosen.</w:t>
            </w:r>
          </w:p>
          <w:p>
            <w:pPr>
              <w:rPr>
                <w:rFonts w:eastAsiaTheme="minorEastAsia"/>
              </w:rPr>
            </w:pPr>
            <w:r>
              <w:rPr>
                <w:rFonts w:eastAsiaTheme="minorEastAsia"/>
              </w:rPr>
              <w:t>A Stakeholder workshops  will be held in Dec. 2023 and 30% of 40 participants will be women.</w:t>
            </w:r>
          </w:p>
          <w:p>
            <w:pPr>
              <w:rPr>
                <w:rFonts w:eastAsiaTheme="minorEastAsia"/>
              </w:rPr>
            </w:pPr>
            <w:r>
              <w:rPr>
                <w:rFonts w:hint="eastAsia" w:eastAsiaTheme="minorEastAsia"/>
                <w:lang w:eastAsia="zh-CN"/>
              </w:rPr>
              <w:t>The</w:t>
            </w:r>
            <w:r>
              <w:rPr>
                <w:rFonts w:eastAsiaTheme="minorEastAsia"/>
              </w:rPr>
              <w:t xml:space="preserve"> </w:t>
            </w:r>
            <w:r>
              <w:rPr>
                <w:rFonts w:hint="eastAsia" w:eastAsiaTheme="minorEastAsia"/>
                <w:lang w:eastAsia="zh-CN"/>
              </w:rPr>
              <w:t>Surveys</w:t>
            </w:r>
            <w:r>
              <w:rPr>
                <w:rFonts w:eastAsiaTheme="minorEastAsia"/>
              </w:rPr>
              <w:t xml:space="preserve"> of KAP, gender and safeguard will be taken in the early of December 2023.</w:t>
            </w:r>
          </w:p>
          <w:p>
            <w:pPr>
              <w:rPr>
                <w:rFonts w:eastAsiaTheme="minorEastAsia"/>
                <w:lang w:eastAsia="zh-CN"/>
              </w:rPr>
            </w:pPr>
            <w:r>
              <w:rPr>
                <w:rFonts w:hint="eastAsia" w:eastAsiaTheme="minorEastAsia"/>
                <w:lang w:eastAsia="zh-CN"/>
              </w:rPr>
              <w:t>启动研讨会于2023年9月25日至26日在福建长汀举行，包括项目指导委员会第一次会议、项目研讨会、</w:t>
            </w:r>
            <w:bookmarkStart w:id="2" w:name="_GoBack"/>
            <w:bookmarkEnd w:id="2"/>
            <w:r>
              <w:rPr>
                <w:rFonts w:hint="eastAsia" w:eastAsiaTheme="minorEastAsia"/>
                <w:lang w:eastAsia="zh-CN"/>
              </w:rPr>
              <w:t>和联合国开发计划署的培训</w:t>
            </w:r>
            <w:r>
              <w:rPr>
                <w:rFonts w:hint="eastAsia" w:eastAsiaTheme="minorEastAsia"/>
                <w:lang w:val="en-US" w:eastAsia="zh-CN"/>
              </w:rPr>
              <w:t>等</w:t>
            </w:r>
            <w:r>
              <w:rPr>
                <w:rFonts w:hint="eastAsia" w:eastAsiaTheme="minorEastAsia"/>
                <w:lang w:eastAsia="zh-CN"/>
              </w:rPr>
              <w:t>。49名参与者中有13名为女性。</w:t>
            </w:r>
          </w:p>
          <w:p>
            <w:pPr>
              <w:rPr>
                <w:rFonts w:eastAsiaTheme="minorEastAsia"/>
                <w:lang w:eastAsia="zh-CN"/>
              </w:rPr>
            </w:pPr>
          </w:p>
          <w:p>
            <w:pPr>
              <w:rPr>
                <w:rFonts w:eastAsiaTheme="minorEastAsia"/>
                <w:lang w:eastAsia="zh-CN"/>
              </w:rPr>
            </w:pPr>
            <w:r>
              <w:rPr>
                <w:rFonts w:hint="eastAsia" w:eastAsiaTheme="minorEastAsia"/>
                <w:lang w:eastAsia="zh-CN"/>
              </w:rPr>
              <w:t>招聘了一名性别与社会环境保障专家。确定了KAP的分包公司，并开展KAP调查。</w:t>
            </w:r>
          </w:p>
          <w:p>
            <w:pPr>
              <w:rPr>
                <w:rFonts w:eastAsiaTheme="minorEastAsia"/>
                <w:lang w:eastAsia="zh-CN"/>
              </w:rPr>
            </w:pPr>
          </w:p>
          <w:p>
            <w:pPr>
              <w:rPr>
                <w:rFonts w:eastAsiaTheme="minorEastAsia"/>
                <w:lang w:eastAsia="zh-CN"/>
              </w:rPr>
            </w:pPr>
            <w:r>
              <w:rPr>
                <w:rFonts w:hint="eastAsia" w:eastAsiaTheme="minorEastAsia"/>
                <w:lang w:eastAsia="zh-CN"/>
              </w:rPr>
              <w:t>2023年12月将举办利益相关方培训会，计划3</w:t>
            </w:r>
            <w:r>
              <w:rPr>
                <w:rFonts w:eastAsiaTheme="minorEastAsia"/>
                <w:lang w:eastAsia="zh-CN"/>
              </w:rPr>
              <w:t>0%</w:t>
            </w:r>
            <w:r>
              <w:rPr>
                <w:rFonts w:hint="eastAsia" w:eastAsiaTheme="minorEastAsia"/>
                <w:lang w:eastAsia="zh-CN"/>
              </w:rPr>
              <w:t>参加者将为女性</w:t>
            </w:r>
          </w:p>
          <w:p>
            <w:pPr>
              <w:rPr>
                <w:rFonts w:eastAsiaTheme="minorEastAsia"/>
                <w:lang w:eastAsia="zh-CN"/>
              </w:rPr>
            </w:pPr>
          </w:p>
          <w:p>
            <w:pPr>
              <w:rPr>
                <w:rFonts w:eastAsiaTheme="minorEastAsia"/>
                <w:lang w:eastAsia="zh-CN"/>
              </w:rPr>
            </w:pPr>
            <w:r>
              <w:rPr>
                <w:rFonts w:hint="eastAsia" w:eastAsiaTheme="minorEastAsia"/>
                <w:lang w:eastAsia="zh-CN"/>
              </w:rPr>
              <w:t>KAP基线、性别与社会环境等调查将于2023年12月初进行。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shd w:val="clear" w:color="auto" w:fill="0070C0"/>
          </w:tcPr>
          <w:p>
            <w:pPr>
              <w:rPr>
                <w:rFonts w:eastAsiaTheme="minorEastAsia"/>
                <w:b/>
              </w:rPr>
            </w:pPr>
            <w:r>
              <w:rPr>
                <w:rFonts w:eastAsiaTheme="minorEastAsia"/>
                <w:b/>
                <w:color w:val="FFFFFF" w:themeColor="background1"/>
                <w14:textFill>
                  <w14:solidFill>
                    <w14:schemeClr w14:val="bg1"/>
                  </w14:solidFill>
                </w14:textFill>
              </w:rPr>
              <w:t xml:space="preserve">Outcomes </w:t>
            </w:r>
            <w:r>
              <w:rPr>
                <w:rFonts w:hint="eastAsia" w:eastAsiaTheme="minorEastAsia"/>
                <w:b/>
                <w:color w:val="FFFFFF" w:themeColor="background1"/>
                <w:lang w:eastAsia="zh-CN"/>
                <w14:textFill>
                  <w14:solidFill>
                    <w14:schemeClr w14:val="bg1"/>
                  </w14:solidFill>
                </w14:textFill>
              </w:rPr>
              <w:t>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shd w:val="clear" w:color="auto" w:fill="auto"/>
          </w:tcPr>
          <w:p>
            <w:pPr>
              <w:rPr>
                <w:rFonts w:eastAsiaTheme="minorEastAsia"/>
              </w:rPr>
            </w:pPr>
            <w:r>
              <w:rPr>
                <w:rFonts w:eastAsiaTheme="minorEastAsia"/>
              </w:rPr>
              <w:t xml:space="preserve">Please elaborate on the contributions and impacts this project has made to </w:t>
            </w:r>
            <w:r>
              <w:rPr>
                <w:rFonts w:eastAsiaTheme="minorEastAsia"/>
                <w:b/>
              </w:rPr>
              <w:t>ONE or MULTIPLE</w:t>
            </w:r>
            <w:r>
              <w:rPr>
                <w:rFonts w:eastAsiaTheme="minorEastAsia"/>
              </w:rPr>
              <w:t xml:space="preserve"> relevant Gender Equality Strategy 2022-2025 priority areas of work</w:t>
            </w:r>
            <w:r>
              <w:rPr>
                <w:rFonts w:eastAsiaTheme="minorEastAsia"/>
                <w:vertAlign w:val="superscript"/>
              </w:rPr>
              <w:footnoteReference w:id="0"/>
            </w:r>
            <w:r>
              <w:rPr>
                <w:rFonts w:eastAsiaTheme="minorEastAsia"/>
              </w:rPr>
              <w:t xml:space="preserve"> during the reporting year. Please provide relevant evidence to support the claims.</w:t>
            </w:r>
          </w:p>
          <w:p>
            <w:pPr>
              <w:rPr>
                <w:rFonts w:eastAsiaTheme="minorEastAsia"/>
                <w:lang w:eastAsia="zh-CN"/>
              </w:rPr>
            </w:pPr>
            <w:r>
              <w:rPr>
                <w:rFonts w:hint="eastAsia" w:eastAsiaTheme="minorEastAsia"/>
                <w:lang w:eastAsia="zh-CN"/>
              </w:rPr>
              <w:t>请详细说明本项目在报告年度对2022-2025年一个或多个相关性别平等战略优先工作领域的贡献和影响。请提供相关证据支持。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2</w:t>
            </w:r>
          </w:p>
        </w:tc>
        <w:tc>
          <w:tcPr>
            <w:tcW w:w="2141" w:type="pct"/>
            <w:shd w:val="clear" w:color="auto" w:fill="auto"/>
          </w:tcPr>
          <w:p>
            <w:pPr>
              <w:rPr>
                <w:rFonts w:eastAsiaTheme="minorEastAsia"/>
              </w:rPr>
            </w:pPr>
            <w:r>
              <w:rPr>
                <w:rFonts w:eastAsiaTheme="minorEastAsia"/>
              </w:rPr>
              <w:t>Promote women’s economic empowerment, employment, and access to resources, and diminishing the structural barriers in economies that keep women behind.</w:t>
            </w:r>
          </w:p>
          <w:p>
            <w:pPr>
              <w:rPr>
                <w:rFonts w:eastAsiaTheme="minorEastAsia"/>
                <w:lang w:eastAsia="zh-CN"/>
              </w:rPr>
            </w:pPr>
            <w:r>
              <w:rPr>
                <w:rFonts w:hint="eastAsia" w:eastAsiaTheme="minorEastAsia"/>
                <w:lang w:eastAsia="zh-CN"/>
              </w:rPr>
              <w:t>促进妇女的经济赋权、就业和获得资源，减少经济中使妇女落后的结构性障碍。</w:t>
            </w:r>
          </w:p>
        </w:tc>
        <w:tc>
          <w:tcPr>
            <w:tcW w:w="2664" w:type="pct"/>
            <w:shd w:val="clear" w:color="auto" w:fill="auto"/>
          </w:tcPr>
          <w:p>
            <w:pPr>
              <w:rPr>
                <w:rFonts w:eastAsiaTheme="minorEastAsia"/>
              </w:rPr>
            </w:pPr>
            <w:r>
              <w:rPr>
                <w:rFonts w:hint="eastAsia" w:eastAsiaTheme="minorEastAsia"/>
              </w:rPr>
              <w:t>G</w:t>
            </w:r>
            <w:r>
              <w:rPr>
                <w:rFonts w:eastAsiaTheme="minorEastAsia"/>
              </w:rPr>
              <w:t>ender safeguard specialist will support the project with delivering gender trainings, carry out monitoring and evaluation missions, make recommendations for adaptive management measures to ensure project benefits for women are fulfilled.</w:t>
            </w:r>
          </w:p>
          <w:p>
            <w:pPr>
              <w:rPr>
                <w:rFonts w:eastAsiaTheme="minorEastAsia"/>
                <w:lang w:eastAsia="zh-CN"/>
              </w:rPr>
            </w:pPr>
          </w:p>
          <w:p>
            <w:pPr>
              <w:rPr>
                <w:rFonts w:eastAsiaTheme="minorEastAsia"/>
                <w:lang w:eastAsia="zh-CN"/>
              </w:rPr>
            </w:pPr>
            <w:r>
              <w:rPr>
                <w:rFonts w:hint="eastAsia" w:eastAsiaTheme="minorEastAsia"/>
                <w:lang w:eastAsia="zh-CN"/>
              </w:rPr>
              <w:t>性别与社会环境保障专家将通过提供性别培训来支持项目，执行监测和评估任务，就适应性管理措施提出建议，以确保项目惠及妇女。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3</w:t>
            </w:r>
          </w:p>
        </w:tc>
        <w:tc>
          <w:tcPr>
            <w:tcW w:w="2141" w:type="pct"/>
            <w:shd w:val="clear" w:color="auto" w:fill="auto"/>
          </w:tcPr>
          <w:p>
            <w:pPr>
              <w:rPr>
                <w:rFonts w:eastAsiaTheme="minorEastAsia"/>
              </w:rPr>
            </w:pPr>
            <w:r>
              <w:rPr>
                <w:rFonts w:eastAsiaTheme="minorEastAsia"/>
              </w:rPr>
              <w:t>Support the incorporation of gender considerations into local economic and social development plans, accelerate women’s equal representation in local governance, especially in rural areas.</w:t>
            </w:r>
          </w:p>
          <w:p>
            <w:pPr>
              <w:rPr>
                <w:rFonts w:eastAsiaTheme="minorEastAsia"/>
                <w:lang w:eastAsia="zh-CN"/>
              </w:rPr>
            </w:pPr>
            <w:r>
              <w:rPr>
                <w:rFonts w:hint="eastAsia" w:eastAsiaTheme="minorEastAsia"/>
                <w:lang w:eastAsia="zh-CN"/>
              </w:rPr>
              <w:t>支持将性别考虑纳入地方经济和社会发展计划，加快妇女在地方治理中的平等代表性，特别是在农村地区。</w:t>
            </w:r>
          </w:p>
        </w:tc>
        <w:tc>
          <w:tcPr>
            <w:tcW w:w="2664" w:type="pct"/>
            <w:shd w:val="clear" w:color="auto" w:fill="auto"/>
          </w:tcPr>
          <w:p>
            <w:pPr>
              <w:rPr>
                <w:rFonts w:eastAsiaTheme="minorEastAsia"/>
                <w:lang w:eastAsia="zh-CN"/>
              </w:rPr>
            </w:pPr>
            <w:r>
              <w:rPr>
                <w:rFonts w:eastAsiaTheme="minorEastAsia"/>
              </w:rPr>
              <w:t xml:space="preserve">N/A </w:t>
            </w:r>
            <w:r>
              <w:rPr>
                <w:rFonts w:hint="eastAsia" w:eastAsiaTheme="minorEastAsia"/>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4</w:t>
            </w:r>
          </w:p>
        </w:tc>
        <w:tc>
          <w:tcPr>
            <w:tcW w:w="2141" w:type="pct"/>
            <w:shd w:val="clear" w:color="auto" w:fill="auto"/>
          </w:tcPr>
          <w:p>
            <w:pPr>
              <w:rPr>
                <w:rFonts w:eastAsiaTheme="minorEastAsia"/>
              </w:rPr>
            </w:pPr>
            <w:r>
              <w:rPr>
                <w:rFonts w:eastAsiaTheme="minorEastAsia"/>
              </w:rPr>
              <w:t>Support building gender-responsive resilience to a wide range of shocks and crises, including conflict, climate change, disasters, environmental degradation and epidemics.</w:t>
            </w:r>
          </w:p>
          <w:p>
            <w:pPr>
              <w:rPr>
                <w:rFonts w:eastAsiaTheme="minorEastAsia"/>
                <w:lang w:eastAsia="zh-CN"/>
              </w:rPr>
            </w:pPr>
            <w:r>
              <w:rPr>
                <w:rFonts w:hint="eastAsia" w:eastAsiaTheme="minorEastAsia"/>
                <w:lang w:eastAsia="zh-CN"/>
              </w:rPr>
              <w:t>支持建立对性别问题有敏感认识的抵御能力，以应对各种冲击和危机，包括冲突、气候变化、灾害、环境退化和流行病。</w:t>
            </w:r>
          </w:p>
        </w:tc>
        <w:tc>
          <w:tcPr>
            <w:tcW w:w="2664" w:type="pct"/>
            <w:shd w:val="clear" w:color="auto" w:fill="auto"/>
          </w:tcPr>
          <w:p>
            <w:pPr>
              <w:rPr>
                <w:rFonts w:eastAsiaTheme="minorEastAsia"/>
                <w:lang w:eastAsia="zh-CN"/>
              </w:rPr>
            </w:pPr>
            <w:r>
              <w:rPr>
                <w:rFonts w:eastAsiaTheme="minorEastAsia"/>
              </w:rPr>
              <w:t xml:space="preserve">N/A </w:t>
            </w:r>
            <w:r>
              <w:rPr>
                <w:rFonts w:hint="eastAsia" w:eastAsiaTheme="minorEastAsia"/>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5</w:t>
            </w:r>
          </w:p>
        </w:tc>
        <w:tc>
          <w:tcPr>
            <w:tcW w:w="2141" w:type="pct"/>
            <w:shd w:val="clear" w:color="auto" w:fill="auto"/>
          </w:tcPr>
          <w:p>
            <w:pPr>
              <w:rPr>
                <w:rFonts w:eastAsiaTheme="minorEastAsia"/>
              </w:rPr>
            </w:pPr>
            <w:r>
              <w:rPr>
                <w:rFonts w:eastAsiaTheme="minorEastAsia"/>
              </w:rPr>
              <w:t>Support women’s improved access, use, and control of resources, and enhance women’s participation and leadership role in climate action.</w:t>
            </w:r>
          </w:p>
          <w:p>
            <w:pPr>
              <w:rPr>
                <w:rFonts w:eastAsiaTheme="minorEastAsia"/>
                <w:lang w:eastAsia="zh-CN"/>
              </w:rPr>
            </w:pPr>
            <w:r>
              <w:rPr>
                <w:rFonts w:hint="eastAsia" w:eastAsiaTheme="minorEastAsia"/>
                <w:lang w:eastAsia="zh-CN"/>
              </w:rPr>
              <w:t>支持妇女更好地获得、使用和控制资源，并加强妇女在气候行动中的参与和领导作用。</w:t>
            </w:r>
          </w:p>
        </w:tc>
        <w:tc>
          <w:tcPr>
            <w:tcW w:w="2664" w:type="pct"/>
            <w:shd w:val="clear" w:color="auto" w:fill="auto"/>
          </w:tcPr>
          <w:p>
            <w:pPr>
              <w:rPr>
                <w:rFonts w:eastAsiaTheme="minorEastAsia"/>
              </w:rPr>
            </w:pPr>
            <w:r>
              <w:rPr>
                <w:rFonts w:eastAsiaTheme="minorEastAsia"/>
              </w:rPr>
              <w:t xml:space="preserve">N/A </w:t>
            </w:r>
            <w:r>
              <w:rPr>
                <w:rFonts w:hint="eastAsia" w:eastAsiaTheme="minorEastAsia"/>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6</w:t>
            </w:r>
          </w:p>
        </w:tc>
        <w:tc>
          <w:tcPr>
            <w:tcW w:w="2141" w:type="pct"/>
            <w:shd w:val="clear" w:color="auto" w:fill="auto"/>
          </w:tcPr>
          <w:p>
            <w:pPr>
              <w:rPr>
                <w:rFonts w:eastAsiaTheme="minorEastAsia"/>
              </w:rPr>
            </w:pPr>
            <w:r>
              <w:rPr>
                <w:rFonts w:eastAsiaTheme="minorEastAsia"/>
              </w:rPr>
              <w:t>Promote gender equality in green energy systems, policies, decision-making and ownership, as well as at the technical and service provision levels.</w:t>
            </w:r>
          </w:p>
          <w:p>
            <w:pPr>
              <w:rPr>
                <w:rFonts w:eastAsiaTheme="minorEastAsia"/>
                <w:lang w:eastAsia="zh-CN"/>
              </w:rPr>
            </w:pPr>
            <w:r>
              <w:rPr>
                <w:rFonts w:hint="eastAsia" w:eastAsiaTheme="minorEastAsia"/>
                <w:lang w:eastAsia="zh-CN"/>
              </w:rPr>
              <w:t>在绿色能源系统、政策、决策和所有权以及技术和服务提供层面促进两性平等。</w:t>
            </w:r>
          </w:p>
        </w:tc>
        <w:tc>
          <w:tcPr>
            <w:tcW w:w="2664" w:type="pct"/>
            <w:shd w:val="clear" w:color="auto" w:fill="auto"/>
          </w:tcPr>
          <w:p>
            <w:pPr>
              <w:rPr>
                <w:rFonts w:eastAsiaTheme="minorEastAsia"/>
                <w:lang w:eastAsia="zh-CN"/>
              </w:rPr>
            </w:pPr>
            <w:r>
              <w:rPr>
                <w:rFonts w:eastAsiaTheme="minorEastAsia"/>
              </w:rPr>
              <w:t xml:space="preserve">N/A </w:t>
            </w:r>
            <w:r>
              <w:rPr>
                <w:rFonts w:hint="eastAsia" w:eastAsiaTheme="minorEastAsia"/>
                <w:lang w:eastAsia="zh-CN"/>
              </w:rPr>
              <w:t>不适用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shd w:val="clear" w:color="auto" w:fill="auto"/>
          </w:tcPr>
          <w:p>
            <w:pPr>
              <w:rPr>
                <w:rFonts w:eastAsiaTheme="minorEastAsia"/>
              </w:rPr>
            </w:pPr>
            <w:r>
              <w:rPr>
                <w:rFonts w:eastAsiaTheme="minorEastAsia"/>
              </w:rPr>
              <w:t>7</w:t>
            </w:r>
          </w:p>
        </w:tc>
        <w:tc>
          <w:tcPr>
            <w:tcW w:w="2141" w:type="pct"/>
            <w:shd w:val="clear" w:color="auto" w:fill="auto"/>
          </w:tcPr>
          <w:p>
            <w:pPr>
              <w:rPr>
                <w:rFonts w:eastAsiaTheme="minorEastAsia"/>
              </w:rPr>
            </w:pPr>
            <w:r>
              <w:rPr>
                <w:rFonts w:eastAsiaTheme="minorEastAsia"/>
              </w:rPr>
              <w:t>Raise awareness on gender equality and challenge the gender stereotype and biased social norms that limit women’s equal rights and opportunities</w:t>
            </w:r>
          </w:p>
          <w:p>
            <w:pPr>
              <w:rPr>
                <w:rFonts w:eastAsiaTheme="minorEastAsia"/>
                <w:lang w:eastAsia="zh-CN"/>
              </w:rPr>
            </w:pPr>
            <w:r>
              <w:rPr>
                <w:rFonts w:hint="eastAsia" w:eastAsiaTheme="minorEastAsia"/>
                <w:lang w:eastAsia="zh-CN"/>
              </w:rPr>
              <w:t>提高对两性平等的认识，挑战限制妇女平等权利和机会的性别陈规定型观念和有偏见的社会规范</w:t>
            </w:r>
          </w:p>
        </w:tc>
        <w:tc>
          <w:tcPr>
            <w:tcW w:w="2664" w:type="pct"/>
            <w:shd w:val="clear" w:color="auto" w:fill="auto"/>
          </w:tcPr>
          <w:p>
            <w:pPr>
              <w:rPr>
                <w:rFonts w:eastAsiaTheme="minorEastAsia"/>
              </w:rPr>
            </w:pPr>
            <w:r>
              <w:rPr>
                <w:rFonts w:eastAsiaTheme="minorEastAsia"/>
              </w:rPr>
              <w:t>Gender analysis surveys will help to identify key elements of gender issues in project landscapes to further evaluate and adjust gender actions in next years.</w:t>
            </w:r>
          </w:p>
          <w:p>
            <w:pPr>
              <w:rPr>
                <w:rFonts w:eastAsiaTheme="minorEastAsia"/>
                <w:lang w:eastAsia="zh-CN"/>
              </w:rPr>
            </w:pPr>
            <w:r>
              <w:rPr>
                <w:rFonts w:hint="eastAsia" w:eastAsiaTheme="minorEastAsia"/>
                <w:lang w:eastAsia="zh-CN"/>
              </w:rPr>
              <w:t>性别分析调查将有助于确定项目景观中性别问题的关键要素，以便在未来几年进一步评估和调整性别行动。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shd w:val="clear" w:color="auto" w:fill="0070C0"/>
          </w:tcPr>
          <w:p>
            <w:pPr>
              <w:rPr>
                <w:rFonts w:eastAsiaTheme="minorEastAsia"/>
                <w:b/>
              </w:rPr>
            </w:pPr>
            <w:r>
              <w:rPr>
                <w:rFonts w:eastAsiaTheme="minorEastAsia"/>
                <w:b/>
                <w:bCs/>
                <w:color w:val="FFFFFF" w:themeColor="background1"/>
                <w14:textFill>
                  <w14:solidFill>
                    <w14:schemeClr w14:val="bg1"/>
                  </w14:solidFill>
                </w14:textFill>
              </w:rPr>
              <w:t xml:space="preserve">Resources Allocation </w:t>
            </w:r>
            <w:r>
              <w:rPr>
                <w:rFonts w:hint="eastAsia" w:eastAsiaTheme="minorEastAsia"/>
                <w:b/>
                <w:bCs/>
                <w:color w:val="FFFFFF" w:themeColor="background1"/>
                <w:lang w:eastAsia="zh-CN"/>
                <w14:textFill>
                  <w14:solidFill>
                    <w14:schemeClr w14:val="bg1"/>
                  </w14:solidFill>
                </w14:textFill>
              </w:rPr>
              <w:t>资源配置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95" w:type="pct"/>
          </w:tcPr>
          <w:p>
            <w:pPr>
              <w:rPr>
                <w:rFonts w:eastAsiaTheme="minorEastAsia"/>
              </w:rPr>
            </w:pPr>
            <w:r>
              <w:rPr>
                <w:rFonts w:eastAsiaTheme="minorEastAsia"/>
              </w:rPr>
              <w:t>8</w:t>
            </w:r>
          </w:p>
        </w:tc>
        <w:tc>
          <w:tcPr>
            <w:tcW w:w="2141" w:type="pct"/>
          </w:tcPr>
          <w:p>
            <w:pPr>
              <w:rPr>
                <w:rFonts w:eastAsiaTheme="minorEastAsia"/>
              </w:rPr>
            </w:pPr>
            <w:r>
              <w:rPr>
                <w:rFonts w:eastAsiaTheme="minorEastAsia"/>
              </w:rPr>
              <w:t>How much of the annual project budget/resources has been allocated to address the identified needs of women and men? If no investment has been made, does the project plan to increase project investment to support women’s empowerment and gender equality?</w:t>
            </w:r>
          </w:p>
          <w:p>
            <w:pPr>
              <w:rPr>
                <w:rFonts w:eastAsiaTheme="minorEastAsia"/>
                <w:lang w:eastAsia="zh-CN"/>
              </w:rPr>
            </w:pPr>
            <w:r>
              <w:rPr>
                <w:rFonts w:hint="eastAsia" w:eastAsiaTheme="minorEastAsia"/>
                <w:lang w:eastAsia="zh-CN"/>
              </w:rPr>
              <w:t>年度项目预算/资源中有多少用于满足妇女和男子的明确需求？如果没有投资，项目是否计划增加项目投资，以支持妇女赋权和性别平等？</w:t>
            </w:r>
          </w:p>
        </w:tc>
        <w:tc>
          <w:tcPr>
            <w:tcW w:w="2664" w:type="pct"/>
          </w:tcPr>
          <w:p>
            <w:pPr>
              <w:rPr>
                <w:rFonts w:eastAsiaTheme="minorEastAsia"/>
              </w:rPr>
            </w:pPr>
            <w:r>
              <w:rPr>
                <w:rFonts w:eastAsiaTheme="minorEastAsia"/>
              </w:rPr>
              <w:t xml:space="preserve">Until the end of Nov. 2023, $17,280 was </w:t>
            </w:r>
            <w:r>
              <w:rPr>
                <w:rFonts w:hint="eastAsia" w:eastAsiaTheme="minorEastAsia"/>
                <w:lang w:eastAsia="zh-CN"/>
              </w:rPr>
              <w:t>planned</w:t>
            </w:r>
            <w:r>
              <w:rPr>
                <w:rFonts w:eastAsiaTheme="minorEastAsia"/>
              </w:rPr>
              <w:t xml:space="preserve"> to support women’s empowerment.</w:t>
            </w:r>
          </w:p>
          <w:p>
            <w:pPr>
              <w:rPr>
                <w:rFonts w:eastAsiaTheme="minorEastAsia"/>
                <w:lang w:eastAsia="zh-CN"/>
              </w:rPr>
            </w:pPr>
            <w:r>
              <w:rPr>
                <w:rFonts w:hint="eastAsia" w:eastAsiaTheme="minorEastAsia"/>
                <w:lang w:eastAsia="zh-CN"/>
              </w:rPr>
              <w:t>截至2023年11月底，共计划拨款17280美元支持赋予妇女权力。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5000" w:type="pct"/>
            <w:gridSpan w:val="3"/>
            <w:shd w:val="clear" w:color="auto" w:fill="0070C0"/>
          </w:tcPr>
          <w:p>
            <w:pPr>
              <w:rPr>
                <w:rFonts w:eastAsiaTheme="minorEastAsia"/>
                <w:b/>
              </w:rPr>
            </w:pPr>
            <w:r>
              <w:rPr>
                <w:rFonts w:eastAsiaTheme="minorEastAsia"/>
                <w:b/>
                <w:bCs/>
                <w:color w:val="FFFFFF" w:themeColor="background1"/>
                <w14:textFill>
                  <w14:solidFill>
                    <w14:schemeClr w14:val="bg1"/>
                  </w14:solidFill>
                </w14:textFill>
              </w:rPr>
              <w:t xml:space="preserve">Challenges &amp; Lessons Learned </w:t>
            </w:r>
            <w:r>
              <w:rPr>
                <w:rFonts w:hint="eastAsia" w:eastAsiaTheme="minorEastAsia"/>
                <w:b/>
                <w:bCs/>
                <w:color w:val="FFFFFF" w:themeColor="background1"/>
                <w:lang w:eastAsia="zh-CN"/>
                <w14:textFill>
                  <w14:solidFill>
                    <w14:schemeClr w14:val="bg1"/>
                  </w14:solidFill>
                </w14:textFill>
              </w:rPr>
              <w:t>挑战与经验教训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5" w:type="pct"/>
          </w:tcPr>
          <w:p>
            <w:pPr>
              <w:rPr>
                <w:rFonts w:eastAsiaTheme="minorEastAsia"/>
              </w:rPr>
            </w:pPr>
            <w:r>
              <w:rPr>
                <w:rFonts w:eastAsiaTheme="minorEastAsia"/>
              </w:rPr>
              <w:t>9</w:t>
            </w:r>
          </w:p>
        </w:tc>
        <w:tc>
          <w:tcPr>
            <w:tcW w:w="2141" w:type="pct"/>
          </w:tcPr>
          <w:p>
            <w:pPr>
              <w:rPr>
                <w:rFonts w:eastAsiaTheme="minorEastAsia"/>
              </w:rPr>
            </w:pPr>
            <w:r>
              <w:rPr>
                <w:rFonts w:eastAsiaTheme="minorEastAsia"/>
              </w:rPr>
              <w:t>What are some key challenges/potential risks faced by the project in (further) promoting women's empowerment and gender equality? What are the possible mitigation measures the project will adopt to tackle those challenges?</w:t>
            </w:r>
          </w:p>
          <w:p>
            <w:pPr>
              <w:rPr>
                <w:rFonts w:eastAsiaTheme="minorEastAsia"/>
                <w:lang w:eastAsia="zh-CN"/>
              </w:rPr>
            </w:pPr>
            <w:r>
              <w:rPr>
                <w:rFonts w:hint="eastAsia" w:eastAsiaTheme="minorEastAsia"/>
                <w:lang w:eastAsia="zh-CN"/>
              </w:rPr>
              <w:t>该项目在（进一步）促进妇女赋权和性别平等方面面临哪些关键挑战/潜在风险？项目将采取哪些可能的缓解措施来应对这些挑战？</w:t>
            </w:r>
          </w:p>
        </w:tc>
        <w:tc>
          <w:tcPr>
            <w:tcW w:w="2664" w:type="pct"/>
          </w:tcPr>
          <w:p>
            <w:pPr>
              <w:rPr>
                <w:rFonts w:eastAsiaTheme="minorEastAsia"/>
              </w:rPr>
            </w:pPr>
            <w:r>
              <w:rPr>
                <w:rFonts w:hint="eastAsia" w:eastAsiaTheme="minorEastAsia"/>
              </w:rPr>
              <w:t>K</w:t>
            </w:r>
            <w:r>
              <w:rPr>
                <w:rFonts w:eastAsiaTheme="minorEastAsia"/>
              </w:rPr>
              <w:t xml:space="preserve">ey challenges faced by the project are the stronger need for forestry technical services and under-representation in forestry technical services teams of women, and the unequal share of household responsibilities. </w:t>
            </w:r>
          </w:p>
          <w:p>
            <w:pPr>
              <w:rPr>
                <w:rFonts w:eastAsiaTheme="minorEastAsia"/>
              </w:rPr>
            </w:pPr>
            <w:r>
              <w:rPr>
                <w:rFonts w:eastAsiaTheme="minorEastAsia"/>
              </w:rPr>
              <w:t>The possible mitigation measures include encouraging equal opportunity recruitment of women for positions in forestry technical services teams, supporting the establishment of business ventures that are run by women, providing targeted training and technical assistance to women beneficiaries to ensure that more than half of direct beneficiaries of the project are women.</w:t>
            </w:r>
          </w:p>
          <w:p>
            <w:pPr>
              <w:rPr>
                <w:rFonts w:eastAsiaTheme="minorEastAsia"/>
                <w:lang w:eastAsia="zh-CN"/>
              </w:rPr>
            </w:pPr>
            <w:r>
              <w:rPr>
                <w:rFonts w:hint="eastAsia" w:eastAsiaTheme="minorEastAsia"/>
                <w:lang w:eastAsia="zh-CN"/>
              </w:rPr>
              <w:t>该项目面临的主要挑战是妇女对林业技术服务的需求更大，但是在林业技术服务团队中的代表性不足，以及家庭责任分担不平等。</w:t>
            </w:r>
          </w:p>
          <w:p>
            <w:pPr>
              <w:rPr>
                <w:rFonts w:eastAsiaTheme="minorEastAsia"/>
                <w:lang w:eastAsia="zh-CN"/>
              </w:rPr>
            </w:pPr>
          </w:p>
          <w:p>
            <w:pPr>
              <w:rPr>
                <w:rFonts w:eastAsiaTheme="minorEastAsia"/>
                <w:lang w:eastAsia="zh-CN"/>
              </w:rPr>
            </w:pPr>
            <w:r>
              <w:rPr>
                <w:rFonts w:hint="eastAsia" w:eastAsiaTheme="minorEastAsia"/>
                <w:lang w:eastAsia="zh-CN"/>
              </w:rPr>
              <w:t>可能的缓解措施包括鼓励平等机会招聘妇女担任林业技术服务团队的职位，支持建立由妇女经营的企业，向妇女受益者提供有针对性的培训和技术援助，以确保该项目的直接受益者中有一半以上是妇女。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shd w:val="clear" w:color="auto" w:fill="0070C0"/>
          </w:tcPr>
          <w:p>
            <w:pPr>
              <w:rPr>
                <w:rFonts w:eastAsiaTheme="minorEastAsia"/>
                <w:b/>
              </w:rPr>
            </w:pPr>
            <w:r>
              <w:rPr>
                <w:rFonts w:eastAsiaTheme="minorEastAsia"/>
                <w:b/>
                <w:bCs/>
                <w:color w:val="FFFFFF" w:themeColor="background1"/>
                <w14:textFill>
                  <w14:solidFill>
                    <w14:schemeClr w14:val="bg1"/>
                  </w14:solidFill>
                </w14:textFill>
              </w:rPr>
              <w:t xml:space="preserve">Knowledge Management </w:t>
            </w:r>
            <w:r>
              <w:rPr>
                <w:rFonts w:hint="eastAsia" w:eastAsiaTheme="minorEastAsia"/>
                <w:b/>
                <w:bCs/>
                <w:color w:val="FFFFFF" w:themeColor="background1"/>
                <w:lang w:eastAsia="zh-CN"/>
                <w14:textFill>
                  <w14:solidFill>
                    <w14:schemeClr w14:val="bg1"/>
                  </w14:solidFill>
                </w14:textFill>
              </w:rPr>
              <w:t>知识管理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 w:type="pct"/>
          </w:tcPr>
          <w:p>
            <w:pPr>
              <w:rPr>
                <w:rFonts w:eastAsiaTheme="minorEastAsia"/>
              </w:rPr>
            </w:pPr>
            <w:r>
              <w:rPr>
                <w:rFonts w:eastAsiaTheme="minorEastAsia"/>
              </w:rPr>
              <w:t>10</w:t>
            </w:r>
          </w:p>
        </w:tc>
        <w:tc>
          <w:tcPr>
            <w:tcW w:w="2141" w:type="pct"/>
          </w:tcPr>
          <w:p>
            <w:pPr>
              <w:rPr>
                <w:rFonts w:eastAsiaTheme="minorEastAsia"/>
              </w:rPr>
            </w:pPr>
            <w:r>
              <w:rPr>
                <w:rFonts w:eastAsiaTheme="minorEastAsia"/>
              </w:rPr>
              <w:t>Have success story(ies) of female beneficiaries have been featured and shared as examples of the project’s key achievement in promoting women’s empowerment and gender equality? Are both women and men represented and visible in the communication products?</w:t>
            </w:r>
          </w:p>
          <w:p>
            <w:pPr>
              <w:rPr>
                <w:rFonts w:eastAsiaTheme="minorEastAsia"/>
                <w:lang w:eastAsia="zh-CN"/>
              </w:rPr>
            </w:pPr>
            <w:r>
              <w:rPr>
                <w:rFonts w:hint="eastAsia" w:eastAsiaTheme="minorEastAsia"/>
                <w:lang w:eastAsia="zh-CN"/>
              </w:rPr>
              <w:t>女性受益人的成功故事是否已作为该项目在促进妇女赋权和性别平等方面取得的关键成就的例子进行了介绍和分享？在传播产品中，女性和男性都有代表性和可视性吗？</w:t>
            </w:r>
          </w:p>
        </w:tc>
        <w:tc>
          <w:tcPr>
            <w:tcW w:w="2664" w:type="pct"/>
          </w:tcPr>
          <w:p>
            <w:pPr>
              <w:rPr>
                <w:rFonts w:eastAsiaTheme="minorEastAsia"/>
              </w:rPr>
            </w:pPr>
            <w:r>
              <w:rPr>
                <w:rFonts w:hint="eastAsia" w:eastAsiaTheme="minorEastAsia"/>
                <w:lang w:eastAsia="zh-CN"/>
              </w:rPr>
              <w:t>N/A</w:t>
            </w:r>
          </w:p>
          <w:p>
            <w:pPr>
              <w:rPr>
                <w:rFonts w:eastAsiaTheme="minorEastAsia"/>
              </w:rPr>
            </w:pPr>
            <w:r>
              <w:rPr>
                <w:rFonts w:hint="eastAsia" w:eastAsiaTheme="minorEastAsia"/>
                <w:lang w:eastAsia="zh-CN"/>
              </w:rPr>
              <w:t>不适用</w:t>
            </w:r>
          </w:p>
        </w:tc>
      </w:tr>
    </w:tbl>
    <w:p/>
    <w:p>
      <w:pPr>
        <w:pStyle w:val="2"/>
      </w:pPr>
      <w:r>
        <w:t>E. COMMUNICATION AND VISIBILITY</w:t>
      </w:r>
      <w:r>
        <w:rPr>
          <w:rFonts w:hint="eastAsia"/>
          <w:lang w:eastAsia="zh-CN"/>
        </w:rPr>
        <w:t>沟通宣传</w:t>
      </w:r>
    </w:p>
    <w:p/>
    <w:p>
      <w:pPr>
        <w:pStyle w:val="20"/>
      </w:pPr>
      <w:r>
        <w:rPr>
          <w:b/>
          <w:bCs/>
        </w:rPr>
        <w:t>Guidance</w:t>
      </w:r>
      <w:r>
        <w:t xml:space="preserve">. Please provide URLs specific to this project (for example, project websites, social media sites, media coverage, etc.) as far as this is applicable. Note that some of these links would be the evidence and data sources for </w:t>
      </w:r>
      <w:r>
        <w:rPr>
          <w:rFonts w:hint="eastAsia"/>
          <w:lang w:eastAsia="zh-CN"/>
        </w:rPr>
        <w:t>Section</w:t>
      </w:r>
      <w:r>
        <w:t xml:space="preserve"> B above.</w:t>
      </w:r>
    </w:p>
    <w:p>
      <w:pPr>
        <w:pStyle w:val="11"/>
        <w:rPr>
          <w:rFonts w:cstheme="minorHAnsi"/>
          <w:sz w:val="20"/>
          <w:szCs w:val="20"/>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6284"/>
        <w:gridCol w:w="3420"/>
        <w:gridCol w:w="3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61" w:type="dxa"/>
            <w:shd w:val="clear" w:color="auto" w:fill="2E75B5" w:themeFill="accent5" w:themeFillShade="BF"/>
          </w:tcPr>
          <w:p>
            <w:pPr>
              <w:rPr>
                <w:rFonts w:cstheme="minorHAnsi"/>
                <w:b/>
                <w:bCs/>
                <w:color w:val="FFFFFF" w:themeColor="background1"/>
                <w:sz w:val="20"/>
                <w:szCs w:val="20"/>
                <w14:textFill>
                  <w14:solidFill>
                    <w14:schemeClr w14:val="bg1"/>
                  </w14:solidFill>
                </w14:textFill>
              </w:rPr>
            </w:pPr>
            <w:r>
              <w:rPr>
                <w:rFonts w:cstheme="minorHAnsi"/>
                <w:b/>
                <w:bCs/>
                <w:color w:val="FFFFFF" w:themeColor="background1"/>
                <w:sz w:val="20"/>
                <w:szCs w:val="20"/>
                <w14:textFill>
                  <w14:solidFill>
                    <w14:schemeClr w14:val="bg1"/>
                  </w14:solidFill>
                </w14:textFill>
              </w:rPr>
              <w:t>#</w:t>
            </w:r>
          </w:p>
        </w:tc>
        <w:tc>
          <w:tcPr>
            <w:tcW w:w="6284" w:type="dxa"/>
            <w:shd w:val="clear" w:color="auto" w:fill="2E75B5" w:themeFill="accent5" w:themeFillShade="BF"/>
          </w:tcPr>
          <w:p>
            <w:pPr>
              <w:rPr>
                <w:rFonts w:cstheme="minorHAnsi"/>
                <w:b/>
                <w:bCs/>
                <w:color w:val="FFFFFF" w:themeColor="background1"/>
                <w:sz w:val="20"/>
                <w:szCs w:val="20"/>
                <w14:textFill>
                  <w14:solidFill>
                    <w14:schemeClr w14:val="bg1"/>
                  </w14:solidFill>
                </w14:textFill>
              </w:rPr>
            </w:pPr>
            <w:r>
              <w:rPr>
                <w:rFonts w:cstheme="minorHAnsi"/>
                <w:b/>
                <w:bCs/>
                <w:color w:val="FFFFFF" w:themeColor="background1"/>
                <w:sz w:val="20"/>
                <w:szCs w:val="20"/>
                <w14:textFill>
                  <w14:solidFill>
                    <w14:schemeClr w14:val="bg1"/>
                  </w14:solidFill>
                </w14:textFill>
              </w:rPr>
              <w:t>Details of communications activities</w:t>
            </w:r>
          </w:p>
        </w:tc>
        <w:tc>
          <w:tcPr>
            <w:tcW w:w="3420" w:type="dxa"/>
            <w:shd w:val="clear" w:color="auto" w:fill="2E75B5" w:themeFill="accent5" w:themeFillShade="BF"/>
          </w:tcPr>
          <w:p>
            <w:pPr>
              <w:rPr>
                <w:rFonts w:cstheme="minorHAnsi"/>
                <w:b/>
                <w:bCs/>
                <w:color w:val="FFFFFF" w:themeColor="background1"/>
                <w:sz w:val="20"/>
                <w:szCs w:val="20"/>
                <w14:textFill>
                  <w14:solidFill>
                    <w14:schemeClr w14:val="bg1"/>
                  </w14:solidFill>
                </w14:textFill>
              </w:rPr>
            </w:pPr>
            <w:r>
              <w:rPr>
                <w:rFonts w:cstheme="minorHAnsi"/>
                <w:b/>
                <w:bCs/>
                <w:color w:val="FFFFFF" w:themeColor="background1"/>
                <w:sz w:val="20"/>
                <w:szCs w:val="20"/>
                <w14:textFill>
                  <w14:solidFill>
                    <w14:schemeClr w14:val="bg1"/>
                  </w14:solidFill>
                </w14:textFill>
              </w:rPr>
              <w:t>Date</w:t>
            </w:r>
          </w:p>
        </w:tc>
        <w:tc>
          <w:tcPr>
            <w:tcW w:w="3779" w:type="dxa"/>
            <w:shd w:val="clear" w:color="auto" w:fill="2E75B5" w:themeFill="accent5" w:themeFillShade="BF"/>
          </w:tcPr>
          <w:p>
            <w:pPr>
              <w:rPr>
                <w:rFonts w:cstheme="minorHAnsi"/>
                <w:b/>
                <w:bCs/>
                <w:color w:val="FFFFFF" w:themeColor="background1"/>
                <w:sz w:val="20"/>
                <w:szCs w:val="20"/>
                <w14:textFill>
                  <w14:solidFill>
                    <w14:schemeClr w14:val="bg1"/>
                  </w14:solidFill>
                </w14:textFill>
              </w:rPr>
            </w:pPr>
            <w:r>
              <w:rPr>
                <w:rFonts w:cstheme="minorHAnsi"/>
                <w:b/>
                <w:bCs/>
                <w:color w:val="FFFFFF" w:themeColor="background1"/>
                <w:sz w:val="20"/>
                <w:szCs w:val="20"/>
                <w14:textFill>
                  <w14:solidFill>
                    <w14:schemeClr w14:val="bg1"/>
                  </w14:solidFill>
                </w14:textFill>
              </w:rPr>
              <w:t xml:space="preserve">External link </w:t>
            </w:r>
            <w:r>
              <w:rPr>
                <w:rFonts w:cstheme="minorHAnsi"/>
                <w:b/>
                <w:bCs/>
                <w:color w:val="FFFFFF" w:themeColor="background1"/>
                <w:sz w:val="20"/>
                <w:szCs w:val="20"/>
                <w:lang w:eastAsia="zh-CN"/>
                <w14:textFill>
                  <w14:solidFill>
                    <w14:schemeClr w14:val="bg1"/>
                  </w14:solidFill>
                </w14:textFill>
              </w:rPr>
              <w:t>(if applicable)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restart"/>
          </w:tcPr>
          <w:p>
            <w:pPr>
              <w:rPr>
                <w:rFonts w:cstheme="minorHAnsi"/>
                <w:sz w:val="20"/>
                <w:szCs w:val="20"/>
              </w:rPr>
            </w:pPr>
            <w:r>
              <w:rPr>
                <w:rFonts w:cstheme="minorHAnsi"/>
                <w:sz w:val="20"/>
                <w:szCs w:val="20"/>
              </w:rPr>
              <w:t>1</w:t>
            </w:r>
          </w:p>
        </w:tc>
        <w:tc>
          <w:tcPr>
            <w:tcW w:w="6284" w:type="dxa"/>
            <w:vMerge w:val="restart"/>
          </w:tcPr>
          <w:p>
            <w:pPr>
              <w:rPr>
                <w:rFonts w:cstheme="minorHAnsi"/>
                <w:sz w:val="20"/>
                <w:szCs w:val="20"/>
              </w:rPr>
            </w:pPr>
            <w:r>
              <w:rPr>
                <w:rFonts w:cstheme="minorHAnsi"/>
                <w:sz w:val="20"/>
                <w:szCs w:val="20"/>
              </w:rPr>
              <w:t>The Project Management Training Workshop was successfully held on March 16, 2023. Nearly 70 people from ERPMC, NPMO, Fujian, Chongqing, Guizhou, Yunnan, and Gansu participated. This training workshop introduced the knowledge about the "Results-oriented UNDP-GEF Project Management Policy and Procedure" and shared successful experiences from other GEF projects.</w:t>
            </w:r>
          </w:p>
          <w:p>
            <w:pPr>
              <w:rPr>
                <w:rFonts w:cstheme="minorHAnsi"/>
                <w:sz w:val="20"/>
                <w:szCs w:val="20"/>
              </w:rPr>
            </w:pPr>
            <w:r>
              <w:rPr>
                <w:rFonts w:cstheme="minorHAnsi"/>
                <w:sz w:val="20"/>
                <w:szCs w:val="20"/>
              </w:rPr>
              <w:t>Media Reporting Channels: NFGA Official Website, ERPMC WeChat Official Account</w:t>
            </w:r>
          </w:p>
          <w:p>
            <w:pPr>
              <w:rPr>
                <w:rFonts w:cstheme="minorHAnsi"/>
                <w:sz w:val="20"/>
                <w:szCs w:val="20"/>
                <w:lang w:eastAsia="zh-CN"/>
              </w:rPr>
            </w:pPr>
            <w:r>
              <w:rPr>
                <w:rFonts w:hint="eastAsia" w:cstheme="minorHAnsi"/>
                <w:sz w:val="20"/>
                <w:szCs w:val="20"/>
                <w:lang w:eastAsia="zh-CN"/>
              </w:rPr>
              <w:t>2023年3月16日，GEF项目管理培训班顺利举办。国家林草局生态中心，天保GEF项目国家执行办公室，福建、重庆、贵州、云南、甘肃五省有关单位近70人参加培训。本次培训介绍了“以结果为导向的UNDP-GEF项目管理流程”和同类项目的成功经验。</w:t>
            </w:r>
          </w:p>
          <w:p>
            <w:pPr>
              <w:rPr>
                <w:rFonts w:cstheme="minorHAnsi"/>
                <w:sz w:val="20"/>
                <w:szCs w:val="20"/>
                <w:lang w:eastAsia="zh-CN"/>
              </w:rPr>
            </w:pPr>
            <w:r>
              <w:rPr>
                <w:rFonts w:hint="eastAsia" w:cstheme="minorHAnsi"/>
                <w:sz w:val="20"/>
                <w:szCs w:val="20"/>
                <w:lang w:eastAsia="zh-CN"/>
              </w:rPr>
              <w:t>媒体报道渠道：国家林草局官网及微信公众号</w:t>
            </w:r>
          </w:p>
        </w:tc>
        <w:tc>
          <w:tcPr>
            <w:tcW w:w="3420" w:type="dxa"/>
          </w:tcPr>
          <w:p>
            <w:pPr>
              <w:rPr>
                <w:rFonts w:cstheme="minorHAnsi"/>
                <w:i/>
                <w:iCs/>
                <w:sz w:val="20"/>
                <w:szCs w:val="20"/>
              </w:rPr>
            </w:pPr>
            <w:r>
              <w:rPr>
                <w:rFonts w:cstheme="minorHAnsi"/>
                <w:i/>
                <w:iCs/>
                <w:sz w:val="20"/>
                <w:szCs w:val="20"/>
              </w:rPr>
              <w:t>03/22/2023</w:t>
            </w:r>
          </w:p>
        </w:tc>
        <w:tc>
          <w:tcPr>
            <w:tcW w:w="3779" w:type="dxa"/>
          </w:tcPr>
          <w:p>
            <w:pPr>
              <w:rPr>
                <w:rFonts w:cstheme="minorHAnsi"/>
                <w:sz w:val="20"/>
                <w:szCs w:val="20"/>
              </w:rPr>
            </w:pPr>
            <w:r>
              <w:rPr>
                <w:rFonts w:cstheme="minorHAnsi"/>
                <w:sz w:val="20"/>
                <w:szCs w:val="20"/>
              </w:rPr>
              <w:t>NFGA Official Website</w:t>
            </w:r>
          </w:p>
          <w:p>
            <w:pPr>
              <w:rPr>
                <w:rFonts w:cstheme="minorHAnsi"/>
                <w:sz w:val="20"/>
                <w:szCs w:val="20"/>
              </w:rPr>
            </w:pPr>
            <w:r>
              <w:fldChar w:fldCharType="begin"/>
            </w:r>
            <w:r>
              <w:instrText xml:space="preserve"> HYPERLINK "https://www.forestry.gov.cn/stzx/4/20230322/085141768899589.html" </w:instrText>
            </w:r>
            <w:r>
              <w:fldChar w:fldCharType="separate"/>
            </w:r>
            <w:r>
              <w:rPr>
                <w:rStyle w:val="17"/>
                <w:rFonts w:cstheme="minorHAnsi"/>
                <w:sz w:val="20"/>
                <w:szCs w:val="20"/>
              </w:rPr>
              <w:t>https://www.forestry.gov.cn/stzx/4/20230322/085141768899589.html</w:t>
            </w:r>
            <w:r>
              <w:rPr>
                <w:rStyle w:val="17"/>
                <w:rFonts w:cstheme="minorHAnsi"/>
                <w:sz w:val="20"/>
                <w:szCs w:val="20"/>
              </w:rPr>
              <w:fldChar w:fldCharType="end"/>
            </w:r>
          </w:p>
          <w:p>
            <w:pPr>
              <w:rPr>
                <w:rFonts w:cstheme="minorHAnsi"/>
                <w:sz w:val="20"/>
                <w:szCs w:val="20"/>
              </w:rPr>
            </w:pP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03/22/2023</w:t>
            </w:r>
          </w:p>
        </w:tc>
        <w:tc>
          <w:tcPr>
            <w:tcW w:w="3779" w:type="dxa"/>
          </w:tcPr>
          <w:p>
            <w:pPr>
              <w:rPr>
                <w:rFonts w:cstheme="minorHAnsi"/>
                <w:sz w:val="20"/>
                <w:szCs w:val="20"/>
              </w:rPr>
            </w:pPr>
            <w:r>
              <w:rPr>
                <w:rFonts w:cstheme="minorHAnsi"/>
                <w:sz w:val="20"/>
                <w:szCs w:val="20"/>
              </w:rPr>
              <w:t>ERPMC WeWhat Official Account</w:t>
            </w:r>
          </w:p>
          <w:p>
            <w:pPr>
              <w:rPr>
                <w:rFonts w:cstheme="minorHAnsi"/>
                <w:sz w:val="20"/>
                <w:szCs w:val="20"/>
              </w:rPr>
            </w:pPr>
            <w:r>
              <w:fldChar w:fldCharType="begin"/>
            </w:r>
            <w:r>
              <w:instrText xml:space="preserve"> HYPERLINK "https://mp.weixin.qq.com/s/jKrMyIe-yWkQs64dtn2XTQ" </w:instrText>
            </w:r>
            <w:r>
              <w:fldChar w:fldCharType="separate"/>
            </w:r>
            <w:r>
              <w:rPr>
                <w:rStyle w:val="17"/>
                <w:rFonts w:cstheme="minorHAnsi"/>
                <w:sz w:val="20"/>
                <w:szCs w:val="20"/>
              </w:rPr>
              <w:t>https://mp.weixin.qq.com/s/jKrMyIe-yWkQs64dtn2XTQ</w:t>
            </w:r>
            <w:r>
              <w:rPr>
                <w:rStyle w:val="17"/>
                <w:rFonts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tcPr>
          <w:p>
            <w:pPr>
              <w:rPr>
                <w:rFonts w:cstheme="minorHAnsi"/>
                <w:sz w:val="20"/>
                <w:szCs w:val="20"/>
              </w:rPr>
            </w:pPr>
            <w:r>
              <w:rPr>
                <w:rFonts w:cstheme="minorHAnsi"/>
                <w:sz w:val="20"/>
                <w:szCs w:val="20"/>
              </w:rPr>
              <w:t>2</w:t>
            </w:r>
          </w:p>
        </w:tc>
        <w:tc>
          <w:tcPr>
            <w:tcW w:w="6284" w:type="dxa"/>
          </w:tcPr>
          <w:p>
            <w:pPr>
              <w:rPr>
                <w:rFonts w:cstheme="minorHAnsi"/>
                <w:sz w:val="20"/>
                <w:szCs w:val="20"/>
              </w:rPr>
            </w:pPr>
            <w:r>
              <w:rPr>
                <w:rFonts w:cstheme="minorHAnsi"/>
                <w:sz w:val="20"/>
                <w:szCs w:val="20"/>
              </w:rPr>
              <w:t>On July 11, the division chief and her team from the ERPMC went to Changting County to conduct project investigation and research. They conducted on-site inspections of demonstration sites that showcased methods for improving forest quality and controlling soil erosion. They also investigated the local preparations for implementing project-related activities.</w:t>
            </w:r>
          </w:p>
          <w:p>
            <w:pPr>
              <w:rPr>
                <w:rFonts w:cstheme="minorHAnsi"/>
                <w:sz w:val="20"/>
                <w:szCs w:val="20"/>
              </w:rPr>
            </w:pPr>
            <w:r>
              <w:rPr>
                <w:rFonts w:cstheme="minorHAnsi"/>
                <w:sz w:val="20"/>
                <w:szCs w:val="20"/>
              </w:rPr>
              <w:t>Media Reporting Channel: Longyan City Forestry Bureau WeChat Official Account</w:t>
            </w:r>
          </w:p>
          <w:p>
            <w:pPr>
              <w:rPr>
                <w:rFonts w:cstheme="minorHAnsi"/>
                <w:sz w:val="20"/>
                <w:szCs w:val="20"/>
                <w:lang w:eastAsia="zh-CN"/>
              </w:rPr>
            </w:pPr>
            <w:r>
              <w:rPr>
                <w:rFonts w:hint="eastAsia" w:cstheme="minorHAnsi"/>
                <w:sz w:val="20"/>
                <w:szCs w:val="20"/>
                <w:lang w:eastAsia="zh-CN"/>
              </w:rPr>
              <w:t>7月11日，生态中心处长一行到长汀县开展项目考察调研。实地考察了森林质量提升、水土流失治理示范点情况。调研了当地GEF项目筹备工作的进展情况。</w:t>
            </w:r>
          </w:p>
          <w:p>
            <w:pPr>
              <w:rPr>
                <w:rFonts w:cstheme="minorHAnsi"/>
                <w:sz w:val="20"/>
                <w:szCs w:val="20"/>
                <w:lang w:eastAsia="zh-CN"/>
              </w:rPr>
            </w:pPr>
            <w:r>
              <w:rPr>
                <w:rFonts w:hint="eastAsia" w:cstheme="minorHAnsi"/>
                <w:sz w:val="20"/>
                <w:szCs w:val="20"/>
                <w:lang w:eastAsia="zh-CN"/>
              </w:rPr>
              <w:t>媒体报道渠道：龙岩市林业局微信公众号</w:t>
            </w:r>
          </w:p>
        </w:tc>
        <w:tc>
          <w:tcPr>
            <w:tcW w:w="3420" w:type="dxa"/>
          </w:tcPr>
          <w:p>
            <w:pPr>
              <w:rPr>
                <w:rFonts w:cstheme="minorHAnsi"/>
                <w:i/>
                <w:iCs/>
                <w:sz w:val="20"/>
                <w:szCs w:val="20"/>
              </w:rPr>
            </w:pPr>
            <w:r>
              <w:rPr>
                <w:rFonts w:cstheme="minorHAnsi"/>
                <w:i/>
                <w:iCs/>
                <w:sz w:val="20"/>
                <w:szCs w:val="20"/>
              </w:rPr>
              <w:t>7/13/2023</w:t>
            </w:r>
          </w:p>
        </w:tc>
        <w:tc>
          <w:tcPr>
            <w:tcW w:w="3779" w:type="dxa"/>
          </w:tcPr>
          <w:p>
            <w:pPr>
              <w:rPr>
                <w:rFonts w:eastAsia="Microsoft YaHei UI" w:cstheme="minorHAnsi"/>
                <w:sz w:val="20"/>
                <w:szCs w:val="20"/>
              </w:rPr>
            </w:pPr>
            <w:r>
              <w:rPr>
                <w:rFonts w:cstheme="minorHAnsi"/>
                <w:sz w:val="20"/>
                <w:szCs w:val="20"/>
              </w:rPr>
              <w:t>Longyan City Forestry Bureau WeChat Official Account</w:t>
            </w:r>
          </w:p>
          <w:p>
            <w:pPr>
              <w:rPr>
                <w:rFonts w:cstheme="minorHAnsi"/>
                <w:sz w:val="20"/>
                <w:szCs w:val="20"/>
              </w:rPr>
            </w:pPr>
            <w:r>
              <w:fldChar w:fldCharType="begin"/>
            </w:r>
            <w:r>
              <w:instrText xml:space="preserve"> HYPERLINK "https://mp.weixin.qq.com/s?__biz=MzU4MDA5NDgwMw==&amp;mid=2247554281&amp;idx=2&amp;sn=06f20f4f8017b5171e003a769d13c71f&amp;chksm=fd5e4ad5ca29c3c3fbd4c6f3add89bf6d6e381325b88df207fe5a2e4e0b497051c36dce49a65&amp;scene=27" </w:instrText>
            </w:r>
            <w:r>
              <w:fldChar w:fldCharType="separate"/>
            </w:r>
            <w:r>
              <w:rPr>
                <w:rStyle w:val="17"/>
                <w:rFonts w:cstheme="minorHAnsi"/>
                <w:sz w:val="20"/>
                <w:szCs w:val="20"/>
              </w:rPr>
              <w:t>https://mp.weixin.qq.com/s?__biz=MzU4MDA5NDgwMw==&amp;mid=2247554281&amp;idx=2&amp;sn=06f20f4f8017b5171e003a769d13c71f&amp;chksm=fd5e4ad5ca29c3c3fbd4c6f3add89bf6d6e381325b88df207fe5a2e4e0b497051c36dce49a65&amp;scene=27</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restart"/>
          </w:tcPr>
          <w:p>
            <w:pPr>
              <w:rPr>
                <w:rFonts w:cstheme="minorHAnsi"/>
                <w:sz w:val="20"/>
                <w:szCs w:val="20"/>
              </w:rPr>
            </w:pPr>
            <w:r>
              <w:rPr>
                <w:rFonts w:cstheme="minorHAnsi"/>
                <w:sz w:val="20"/>
                <w:szCs w:val="20"/>
              </w:rPr>
              <w:t>3</w:t>
            </w:r>
          </w:p>
        </w:tc>
        <w:tc>
          <w:tcPr>
            <w:tcW w:w="6284" w:type="dxa"/>
            <w:vMerge w:val="restart"/>
          </w:tcPr>
          <w:p>
            <w:pPr>
              <w:rPr>
                <w:rFonts w:cstheme="minorHAnsi"/>
                <w:sz w:val="20"/>
                <w:szCs w:val="20"/>
              </w:rPr>
            </w:pPr>
            <w:r>
              <w:rPr>
                <w:rFonts w:cstheme="minorHAnsi"/>
                <w:sz w:val="20"/>
                <w:szCs w:val="20"/>
              </w:rPr>
              <w:t>On July 11, the NPMO visited the UNDP-GEF Strengthening Marine Protected Areas Project and the Flyway Conservation Network Project at the Academy of Forestry Inventory and Planning to communicate and exchange experiences related to project management, financial management, publicity strategy, and methods to improve the quality of project implementation.</w:t>
            </w:r>
          </w:p>
          <w:p>
            <w:pPr>
              <w:rPr>
                <w:rFonts w:cstheme="minorHAnsi"/>
                <w:sz w:val="20"/>
                <w:szCs w:val="20"/>
              </w:rPr>
            </w:pPr>
            <w:r>
              <w:rPr>
                <w:rFonts w:cstheme="minorHAnsi"/>
                <w:sz w:val="20"/>
                <w:szCs w:val="20"/>
              </w:rPr>
              <w:t>Media Reporting Channels: NFGA official website, ERPMC WeChat Official Account</w:t>
            </w:r>
          </w:p>
          <w:p>
            <w:pPr>
              <w:rPr>
                <w:rFonts w:cstheme="minorHAnsi"/>
                <w:sz w:val="20"/>
                <w:szCs w:val="20"/>
                <w:lang w:eastAsia="zh-CN"/>
              </w:rPr>
            </w:pPr>
            <w:r>
              <w:rPr>
                <w:rFonts w:hint="eastAsia" w:cstheme="minorHAnsi"/>
                <w:sz w:val="20"/>
                <w:szCs w:val="20"/>
                <w:lang w:eastAsia="zh-CN"/>
              </w:rPr>
              <w:t>2023年7月11日，国家项目办赴国家林草局调查规划院交流研讨，与GEF海洋保护地管理和保护迁飞网络项目办成员就项目管理、财务管理、宣传推广、提高项目质量的方法等方面交流经验。</w:t>
            </w:r>
          </w:p>
          <w:p>
            <w:pPr>
              <w:rPr>
                <w:rFonts w:cstheme="minorHAnsi"/>
                <w:sz w:val="20"/>
                <w:szCs w:val="20"/>
                <w:lang w:eastAsia="zh-CN"/>
              </w:rPr>
            </w:pPr>
            <w:r>
              <w:rPr>
                <w:rFonts w:hint="eastAsia" w:cstheme="minorHAnsi"/>
                <w:sz w:val="20"/>
                <w:szCs w:val="20"/>
                <w:lang w:eastAsia="zh-CN"/>
              </w:rPr>
              <w:t>媒体报道渠道：国家林草局官网及生态中心微信公众号</w:t>
            </w:r>
          </w:p>
        </w:tc>
        <w:tc>
          <w:tcPr>
            <w:tcW w:w="3420" w:type="dxa"/>
          </w:tcPr>
          <w:p>
            <w:pPr>
              <w:rPr>
                <w:rFonts w:cstheme="minorHAnsi"/>
                <w:i/>
                <w:iCs/>
                <w:sz w:val="20"/>
                <w:szCs w:val="20"/>
              </w:rPr>
            </w:pPr>
            <w:r>
              <w:rPr>
                <w:rFonts w:cstheme="minorHAnsi"/>
                <w:i/>
                <w:iCs/>
                <w:sz w:val="20"/>
                <w:szCs w:val="20"/>
              </w:rPr>
              <w:t>7/17/2023</w:t>
            </w:r>
          </w:p>
        </w:tc>
        <w:tc>
          <w:tcPr>
            <w:tcW w:w="3779" w:type="dxa"/>
          </w:tcPr>
          <w:p>
            <w:pPr>
              <w:rPr>
                <w:rFonts w:cstheme="minorHAnsi"/>
                <w:sz w:val="20"/>
                <w:szCs w:val="20"/>
              </w:rPr>
            </w:pPr>
            <w:r>
              <w:rPr>
                <w:rFonts w:cstheme="minorHAnsi"/>
                <w:sz w:val="20"/>
                <w:szCs w:val="20"/>
              </w:rPr>
              <w:t>NFGA Official Website</w:t>
            </w:r>
          </w:p>
          <w:p>
            <w:pPr>
              <w:rPr>
                <w:rFonts w:cstheme="minorHAnsi"/>
                <w:sz w:val="20"/>
                <w:szCs w:val="20"/>
              </w:rPr>
            </w:pPr>
            <w:r>
              <w:fldChar w:fldCharType="begin"/>
            </w:r>
            <w:r>
              <w:instrText xml:space="preserve"> HYPERLINK "https://www.forestry.gov.cn/c/stzx/zhgl/512161.jhtml" </w:instrText>
            </w:r>
            <w:r>
              <w:fldChar w:fldCharType="separate"/>
            </w:r>
            <w:r>
              <w:rPr>
                <w:rStyle w:val="17"/>
                <w:rFonts w:cstheme="minorHAnsi"/>
                <w:sz w:val="20"/>
                <w:szCs w:val="20"/>
              </w:rPr>
              <w:t>https://www.forestry.gov.cn/c/stzx/zhgl/512161.jhtml</w:t>
            </w:r>
            <w:r>
              <w:rPr>
                <w:rStyle w:val="17"/>
                <w:rFonts w:cstheme="minorHAnsi"/>
                <w:sz w:val="20"/>
                <w:szCs w:val="20"/>
              </w:rPr>
              <w:fldChar w:fldCharType="end"/>
            </w:r>
          </w:p>
          <w:p>
            <w:pPr>
              <w:rPr>
                <w:rFonts w:cstheme="minorHAnsi"/>
                <w:sz w:val="20"/>
                <w:szCs w:val="20"/>
              </w:rPr>
            </w:pP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7/17/2023</w:t>
            </w:r>
          </w:p>
        </w:tc>
        <w:tc>
          <w:tcPr>
            <w:tcW w:w="3779" w:type="dxa"/>
          </w:tcPr>
          <w:p>
            <w:pPr>
              <w:rPr>
                <w:rFonts w:cstheme="minorHAnsi"/>
                <w:sz w:val="20"/>
                <w:szCs w:val="20"/>
              </w:rPr>
            </w:pPr>
            <w:r>
              <w:rPr>
                <w:rFonts w:cstheme="minorHAnsi"/>
                <w:sz w:val="20"/>
                <w:szCs w:val="20"/>
              </w:rPr>
              <w:t>ERPMC WeWhat Official Account</w:t>
            </w:r>
          </w:p>
          <w:p>
            <w:pPr>
              <w:rPr>
                <w:rFonts w:cstheme="minorHAnsi"/>
                <w:sz w:val="20"/>
                <w:szCs w:val="20"/>
              </w:rPr>
            </w:pPr>
            <w:r>
              <w:fldChar w:fldCharType="begin"/>
            </w:r>
            <w:r>
              <w:instrText xml:space="preserve"> HYPERLINK "https://mp.weixin.qq.com/s/eIgFLZS_wHOSIi23cXpfOQ" </w:instrText>
            </w:r>
            <w:r>
              <w:fldChar w:fldCharType="separate"/>
            </w:r>
            <w:r>
              <w:rPr>
                <w:rStyle w:val="17"/>
                <w:rFonts w:cstheme="minorHAnsi"/>
                <w:sz w:val="20"/>
                <w:szCs w:val="20"/>
              </w:rPr>
              <w:t>https://mp.weixin.qq.com/s/eIgFLZS_wHOSIi23cXpfOQ</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restart"/>
          </w:tcPr>
          <w:p>
            <w:pPr>
              <w:rPr>
                <w:rFonts w:cstheme="minorHAnsi"/>
                <w:sz w:val="20"/>
                <w:szCs w:val="20"/>
              </w:rPr>
            </w:pPr>
            <w:r>
              <w:rPr>
                <w:rFonts w:cstheme="minorHAnsi"/>
                <w:sz w:val="20"/>
                <w:szCs w:val="20"/>
              </w:rPr>
              <w:t>4</w:t>
            </w:r>
          </w:p>
          <w:p>
            <w:pPr>
              <w:rPr>
                <w:rFonts w:cstheme="minorHAnsi"/>
                <w:sz w:val="20"/>
                <w:szCs w:val="20"/>
              </w:rPr>
            </w:pPr>
          </w:p>
        </w:tc>
        <w:tc>
          <w:tcPr>
            <w:tcW w:w="6284" w:type="dxa"/>
            <w:vMerge w:val="restart"/>
          </w:tcPr>
          <w:p>
            <w:pPr>
              <w:rPr>
                <w:rFonts w:cstheme="minorHAnsi"/>
                <w:sz w:val="20"/>
                <w:szCs w:val="20"/>
              </w:rPr>
            </w:pPr>
            <w:r>
              <w:rPr>
                <w:rFonts w:cstheme="minorHAnsi"/>
                <w:sz w:val="20"/>
                <w:szCs w:val="20"/>
              </w:rPr>
              <w:t>On September 25, 2023, the Project Inception Workshop and the 1st meeting of the PSC were held in Changting County, Fujian Province. Nearly 70 people participated. The project Inception Report and the TYWP (2023-2024) were reviewed and approved during the PSC meeting.</w:t>
            </w:r>
          </w:p>
          <w:p>
            <w:pPr>
              <w:rPr>
                <w:rFonts w:cstheme="minorHAnsi"/>
                <w:sz w:val="20"/>
                <w:szCs w:val="20"/>
              </w:rPr>
            </w:pPr>
            <w:r>
              <w:rPr>
                <w:rFonts w:cstheme="minorHAnsi"/>
                <w:sz w:val="20"/>
                <w:szCs w:val="20"/>
              </w:rPr>
              <w:t>Media Reporting Channel: Multiple national and subnational news platforms and television stations.</w:t>
            </w:r>
          </w:p>
          <w:p>
            <w:pPr>
              <w:rPr>
                <w:rFonts w:cstheme="minorHAnsi"/>
                <w:sz w:val="20"/>
                <w:szCs w:val="20"/>
                <w:lang w:eastAsia="zh-CN"/>
              </w:rPr>
            </w:pPr>
            <w:r>
              <w:rPr>
                <w:rFonts w:hint="eastAsia" w:cstheme="minorHAnsi"/>
                <w:sz w:val="20"/>
                <w:szCs w:val="20"/>
                <w:lang w:eastAsia="zh-CN"/>
              </w:rPr>
              <w:t>9月25日，项目启动会暨指导委员会第一次会议在福建省长汀县召开。近70人参加本次会议。项目指导委员会审议并通过了项目启动报告和2023-2024双年度工作计划。</w:t>
            </w:r>
          </w:p>
          <w:p>
            <w:pPr>
              <w:rPr>
                <w:rFonts w:cstheme="minorHAnsi"/>
                <w:sz w:val="20"/>
                <w:szCs w:val="20"/>
                <w:lang w:eastAsia="zh-CN"/>
              </w:rPr>
            </w:pPr>
            <w:r>
              <w:rPr>
                <w:rFonts w:hint="eastAsia" w:cstheme="minorHAnsi"/>
                <w:sz w:val="20"/>
                <w:szCs w:val="20"/>
                <w:lang w:eastAsia="zh-CN"/>
              </w:rPr>
              <w:t>媒体报道渠道:多个国家级和省级官方新闻媒体和新闻网站</w:t>
            </w:r>
          </w:p>
          <w:p>
            <w:pPr>
              <w:rPr>
                <w:rFonts w:cstheme="minorHAnsi"/>
                <w:sz w:val="20"/>
                <w:szCs w:val="20"/>
                <w:lang w:eastAsia="zh-CN"/>
              </w:rPr>
            </w:pPr>
          </w:p>
        </w:tc>
        <w:tc>
          <w:tcPr>
            <w:tcW w:w="3420" w:type="dxa"/>
          </w:tcPr>
          <w:p>
            <w:pPr>
              <w:rPr>
                <w:rFonts w:cstheme="minorHAnsi"/>
                <w:i/>
                <w:iCs/>
                <w:sz w:val="20"/>
                <w:szCs w:val="20"/>
              </w:rPr>
            </w:pPr>
            <w:r>
              <w:rPr>
                <w:rFonts w:cstheme="minorHAnsi"/>
                <w:i/>
                <w:iCs/>
                <w:sz w:val="20"/>
                <w:szCs w:val="20"/>
              </w:rPr>
              <w:t>09/26/2023</w:t>
            </w:r>
          </w:p>
        </w:tc>
        <w:tc>
          <w:tcPr>
            <w:tcW w:w="3779" w:type="dxa"/>
          </w:tcPr>
          <w:p>
            <w:pPr>
              <w:rPr>
                <w:rFonts w:cstheme="minorHAnsi"/>
                <w:sz w:val="20"/>
                <w:szCs w:val="20"/>
              </w:rPr>
            </w:pPr>
            <w:r>
              <w:rPr>
                <w:rFonts w:cstheme="minorHAnsi"/>
                <w:sz w:val="20"/>
                <w:szCs w:val="20"/>
              </w:rPr>
              <w:t>Changting County Media Center</w:t>
            </w:r>
          </w:p>
          <w:p>
            <w:pPr>
              <w:rPr>
                <w:rFonts w:cstheme="minorHAnsi"/>
                <w:sz w:val="20"/>
                <w:szCs w:val="20"/>
              </w:rPr>
            </w:pPr>
            <w:r>
              <w:fldChar w:fldCharType="begin"/>
            </w:r>
            <w:r>
              <w:instrText xml:space="preserve"> HYPERLINK "https://mp.weixin.qq.com/s?__biz=MjM5MDg0MzY2NQ==&amp;mid=2650570770&amp;idx=1&amp;sn=33b20ce1e5b0a6a05db357f804c5ab03&amp;chksm=beb6b66c89c13f7a40c5602cab6e353d9566d507f0538ccc89e937b37d769e405690d1575e8f&amp;scene=27" </w:instrText>
            </w:r>
            <w:r>
              <w:fldChar w:fldCharType="separate"/>
            </w:r>
            <w:r>
              <w:rPr>
                <w:rStyle w:val="17"/>
                <w:rFonts w:cstheme="minorHAnsi"/>
                <w:sz w:val="20"/>
                <w:szCs w:val="20"/>
              </w:rPr>
              <w:t>https://mp.weixin.qq.com/s?__biz=MjM5MDg0MzY2NQ==&amp;mid=2650570770&amp;idx=1&amp;sn=33b20ce1e5b0a6a05db357f804c5ab03&amp;chksm=beb6b66c89c13f7a40c5602cab6e353d9566d507f0538ccc89e937b37d769e405690d1575e8f&amp;scene=27</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09/26/2023</w:t>
            </w:r>
          </w:p>
        </w:tc>
        <w:tc>
          <w:tcPr>
            <w:tcW w:w="3779" w:type="dxa"/>
          </w:tcPr>
          <w:p>
            <w:pPr>
              <w:rPr>
                <w:rFonts w:cstheme="minorHAnsi"/>
                <w:sz w:val="20"/>
                <w:szCs w:val="20"/>
              </w:rPr>
            </w:pPr>
            <w:r>
              <w:rPr>
                <w:rFonts w:cstheme="minorHAnsi"/>
                <w:sz w:val="20"/>
                <w:szCs w:val="20"/>
              </w:rPr>
              <w:t>SOHU</w:t>
            </w:r>
          </w:p>
          <w:p>
            <w:pPr>
              <w:rPr>
                <w:rFonts w:cstheme="minorHAnsi"/>
                <w:sz w:val="20"/>
                <w:szCs w:val="20"/>
              </w:rPr>
            </w:pPr>
            <w:r>
              <w:fldChar w:fldCharType="begin"/>
            </w:r>
            <w:r>
              <w:instrText xml:space="preserve"> HYPERLINK "https://www.sohu.com/a/723759462_121123834" </w:instrText>
            </w:r>
            <w:r>
              <w:fldChar w:fldCharType="separate"/>
            </w:r>
            <w:r>
              <w:rPr>
                <w:rStyle w:val="17"/>
                <w:rFonts w:cstheme="minorHAnsi"/>
                <w:sz w:val="20"/>
                <w:szCs w:val="20"/>
              </w:rPr>
              <w:t>https://www.sohu.com/a/723759462_121123834</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09/26/2023</w:t>
            </w:r>
          </w:p>
        </w:tc>
        <w:tc>
          <w:tcPr>
            <w:tcW w:w="3779" w:type="dxa"/>
          </w:tcPr>
          <w:p>
            <w:pPr>
              <w:rPr>
                <w:rFonts w:cstheme="minorHAnsi"/>
                <w:sz w:val="20"/>
                <w:szCs w:val="20"/>
              </w:rPr>
            </w:pPr>
            <w:r>
              <w:rPr>
                <w:rFonts w:cstheme="minorHAnsi"/>
                <w:sz w:val="20"/>
                <w:szCs w:val="20"/>
              </w:rPr>
              <w:t>NFGA Official Website</w:t>
            </w:r>
          </w:p>
          <w:p>
            <w:pPr>
              <w:rPr>
                <w:rFonts w:cstheme="minorHAnsi"/>
                <w:sz w:val="20"/>
                <w:szCs w:val="20"/>
              </w:rPr>
            </w:pPr>
            <w:r>
              <w:fldChar w:fldCharType="begin"/>
            </w:r>
            <w:r>
              <w:instrText xml:space="preserve"> HYPERLINK "https://www.forestry.gov.cn/c/stzx/zxzx/524966.jhtml" </w:instrText>
            </w:r>
            <w:r>
              <w:fldChar w:fldCharType="separate"/>
            </w:r>
            <w:r>
              <w:rPr>
                <w:rStyle w:val="17"/>
                <w:rFonts w:cstheme="minorHAnsi"/>
                <w:sz w:val="20"/>
                <w:szCs w:val="20"/>
              </w:rPr>
              <w:t>https://www.forestry.gov.cn/c/stzx/zxzx/524966.jhtml</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09/27/2023</w:t>
            </w:r>
          </w:p>
        </w:tc>
        <w:tc>
          <w:tcPr>
            <w:tcW w:w="3779" w:type="dxa"/>
          </w:tcPr>
          <w:p>
            <w:pPr>
              <w:rPr>
                <w:rFonts w:cstheme="minorHAnsi"/>
                <w:sz w:val="20"/>
                <w:szCs w:val="20"/>
              </w:rPr>
            </w:pPr>
            <w:r>
              <w:rPr>
                <w:rFonts w:cstheme="minorHAnsi"/>
                <w:sz w:val="20"/>
                <w:szCs w:val="20"/>
              </w:rPr>
              <w:t>Fujian Province Official Website</w:t>
            </w:r>
          </w:p>
          <w:p>
            <w:pPr>
              <w:rPr>
                <w:rFonts w:cstheme="minorHAnsi"/>
                <w:sz w:val="20"/>
                <w:szCs w:val="20"/>
              </w:rPr>
            </w:pPr>
            <w:r>
              <w:fldChar w:fldCharType="begin"/>
            </w:r>
            <w:r>
              <w:instrText xml:space="preserve"> HYPERLINK "http://www.fj.gov.cn/xwdt/fjyw/202309/t20230927_6265153.htm" </w:instrText>
            </w:r>
            <w:r>
              <w:fldChar w:fldCharType="separate"/>
            </w:r>
            <w:r>
              <w:rPr>
                <w:rStyle w:val="17"/>
                <w:rFonts w:cstheme="minorHAnsi"/>
                <w:sz w:val="20"/>
                <w:szCs w:val="20"/>
              </w:rPr>
              <w:t>http://www.fj.gov.cn/xwdt/fjyw/202309/t20230927_6265153.htm</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09/27/2023</w:t>
            </w:r>
          </w:p>
        </w:tc>
        <w:tc>
          <w:tcPr>
            <w:tcW w:w="3779" w:type="dxa"/>
          </w:tcPr>
          <w:p>
            <w:pPr>
              <w:rPr>
                <w:rFonts w:cstheme="minorHAnsi"/>
                <w:sz w:val="20"/>
                <w:szCs w:val="20"/>
              </w:rPr>
            </w:pPr>
            <w:r>
              <w:rPr>
                <w:rFonts w:cstheme="minorHAnsi"/>
                <w:sz w:val="20"/>
                <w:szCs w:val="20"/>
              </w:rPr>
              <w:t>Changting County Official Website</w:t>
            </w:r>
          </w:p>
          <w:p>
            <w:pPr>
              <w:rPr>
                <w:rFonts w:cstheme="minorHAnsi"/>
                <w:sz w:val="20"/>
                <w:szCs w:val="20"/>
              </w:rPr>
            </w:pPr>
            <w:r>
              <w:fldChar w:fldCharType="begin"/>
            </w:r>
            <w:r>
              <w:instrText xml:space="preserve"> HYPERLINK "http://www.changting.gov.cn/xwzx/ctxw/202309/t20230927_2040818.htm" </w:instrText>
            </w:r>
            <w:r>
              <w:fldChar w:fldCharType="separate"/>
            </w:r>
            <w:r>
              <w:rPr>
                <w:rStyle w:val="17"/>
                <w:rFonts w:cstheme="minorHAnsi"/>
                <w:sz w:val="20"/>
                <w:szCs w:val="20"/>
              </w:rPr>
              <w:t>http://www.changting.gov.cn/xwzx/ctxw/202309/t20230927_2040818.htm</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09/27/2023</w:t>
            </w:r>
          </w:p>
        </w:tc>
        <w:tc>
          <w:tcPr>
            <w:tcW w:w="3779" w:type="dxa"/>
          </w:tcPr>
          <w:p>
            <w:pPr>
              <w:rPr>
                <w:rFonts w:cstheme="minorHAnsi"/>
                <w:sz w:val="20"/>
                <w:szCs w:val="20"/>
              </w:rPr>
            </w:pPr>
            <w:r>
              <w:rPr>
                <w:rFonts w:cstheme="minorHAnsi"/>
                <w:sz w:val="20"/>
                <w:szCs w:val="20"/>
              </w:rPr>
              <w:t>Fujian Daily</w:t>
            </w:r>
          </w:p>
          <w:p>
            <w:pPr>
              <w:rPr>
                <w:rFonts w:cstheme="minorHAnsi"/>
                <w:sz w:val="20"/>
                <w:szCs w:val="20"/>
              </w:rPr>
            </w:pPr>
            <w:r>
              <w:fldChar w:fldCharType="begin"/>
            </w:r>
            <w:r>
              <w:instrText xml:space="preserve"> HYPERLINK "https://fjrb.fjdaily.com/pc/con/202309/27/content_308904.html" </w:instrText>
            </w:r>
            <w:r>
              <w:fldChar w:fldCharType="separate"/>
            </w:r>
            <w:r>
              <w:rPr>
                <w:rStyle w:val="17"/>
                <w:rFonts w:cstheme="minorHAnsi"/>
                <w:sz w:val="20"/>
                <w:szCs w:val="20"/>
              </w:rPr>
              <w:t>https://fjrb.fjdaily.com/pc/con/202309/27/content_308904.html</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09/27/2023</w:t>
            </w:r>
          </w:p>
        </w:tc>
        <w:tc>
          <w:tcPr>
            <w:tcW w:w="3779" w:type="dxa"/>
          </w:tcPr>
          <w:p>
            <w:pPr>
              <w:rPr>
                <w:rFonts w:cstheme="minorHAnsi"/>
                <w:sz w:val="20"/>
                <w:szCs w:val="20"/>
              </w:rPr>
            </w:pPr>
            <w:r>
              <w:rPr>
                <w:rFonts w:cstheme="minorHAnsi"/>
                <w:sz w:val="20"/>
                <w:szCs w:val="20"/>
              </w:rPr>
              <w:t>FJSEN.com</w:t>
            </w:r>
          </w:p>
          <w:p>
            <w:pPr>
              <w:rPr>
                <w:rFonts w:cstheme="minorHAnsi"/>
                <w:sz w:val="20"/>
                <w:szCs w:val="20"/>
              </w:rPr>
            </w:pPr>
            <w:r>
              <w:fldChar w:fldCharType="begin"/>
            </w:r>
            <w:r>
              <w:instrText xml:space="preserve"> HYPERLINK "http://fjnews.fjsen.com/2023-09/27/content_31420758.htm" </w:instrText>
            </w:r>
            <w:r>
              <w:fldChar w:fldCharType="separate"/>
            </w:r>
            <w:r>
              <w:rPr>
                <w:rStyle w:val="17"/>
                <w:rFonts w:cstheme="minorHAnsi"/>
                <w:sz w:val="20"/>
                <w:szCs w:val="20"/>
              </w:rPr>
              <w:t>http://fjnews.fjsen.com/2023-09/27/content_31420758.htm</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09/27/2023</w:t>
            </w:r>
          </w:p>
        </w:tc>
        <w:tc>
          <w:tcPr>
            <w:tcW w:w="3779" w:type="dxa"/>
          </w:tcPr>
          <w:p>
            <w:pPr>
              <w:rPr>
                <w:rFonts w:cstheme="minorHAnsi"/>
                <w:sz w:val="20"/>
                <w:szCs w:val="20"/>
              </w:rPr>
            </w:pPr>
            <w:r>
              <w:rPr>
                <w:rFonts w:cstheme="minorHAnsi"/>
                <w:sz w:val="20"/>
                <w:szCs w:val="20"/>
              </w:rPr>
              <w:t>Sina</w:t>
            </w:r>
          </w:p>
          <w:p>
            <w:pPr>
              <w:rPr>
                <w:rFonts w:cstheme="minorHAnsi"/>
                <w:sz w:val="20"/>
                <w:szCs w:val="20"/>
              </w:rPr>
            </w:pPr>
            <w:r>
              <w:fldChar w:fldCharType="begin"/>
            </w:r>
            <w:r>
              <w:instrText xml:space="preserve"> HYPERLINK "https://finance.sina.com.cn/jjxw/2023-09-27/doc-imzpazmr4246223.shtml" </w:instrText>
            </w:r>
            <w:r>
              <w:fldChar w:fldCharType="separate"/>
            </w:r>
            <w:r>
              <w:rPr>
                <w:rStyle w:val="17"/>
                <w:rFonts w:cstheme="minorHAnsi"/>
                <w:sz w:val="20"/>
                <w:szCs w:val="20"/>
              </w:rPr>
              <w:t>https://finance.sina.com.cn/jjxw/2023-09-27/doc-imzpazmr4246223.shtml</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09/28/2023</w:t>
            </w:r>
          </w:p>
        </w:tc>
        <w:tc>
          <w:tcPr>
            <w:tcW w:w="3779" w:type="dxa"/>
          </w:tcPr>
          <w:p>
            <w:pPr>
              <w:rPr>
                <w:rFonts w:cstheme="minorHAnsi"/>
                <w:sz w:val="20"/>
                <w:szCs w:val="20"/>
              </w:rPr>
            </w:pPr>
            <w:r>
              <w:rPr>
                <w:rFonts w:cstheme="minorHAnsi"/>
                <w:sz w:val="20"/>
                <w:szCs w:val="20"/>
              </w:rPr>
              <w:t>Longyan City Forestry Bureau WeChat Official Account</w:t>
            </w:r>
          </w:p>
          <w:p>
            <w:pPr>
              <w:rPr>
                <w:rFonts w:cstheme="minorHAnsi"/>
                <w:sz w:val="20"/>
                <w:szCs w:val="20"/>
              </w:rPr>
            </w:pPr>
            <w:r>
              <w:fldChar w:fldCharType="begin"/>
            </w:r>
            <w:r>
              <w:instrText xml:space="preserve"> HYPERLINK "https://mp.weixin.qq.com/s?__biz=MzU4MDA5NDgwMw==&amp;mid=2247556421&amp;idx=4&amp;sn=a375efa2286af6424f42475ff02d491e&amp;chksm=fd5e4379ca29ca6fad0bfa90c9f1e5586f02837ce52dfa70b77a74ebdd16d622a759e1466561&amp;scene=27" </w:instrText>
            </w:r>
            <w:r>
              <w:fldChar w:fldCharType="separate"/>
            </w:r>
            <w:r>
              <w:rPr>
                <w:rStyle w:val="17"/>
                <w:rFonts w:cstheme="minorHAnsi"/>
                <w:sz w:val="20"/>
                <w:szCs w:val="20"/>
              </w:rPr>
              <w:t>https://mp.weixin.qq.com/s?__biz=MzU4MDA5NDgwMw==&amp;mid=2247556421&amp;idx=4&amp;sn=a375efa2286af6424f42475ff02d491e&amp;chksm=fd5e4379ca29ca6fad0bfa90c9f1e5586f02837ce52dfa70b77a74ebdd16d622a759e1466561&amp;scene=27</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10/03/2023</w:t>
            </w:r>
          </w:p>
        </w:tc>
        <w:tc>
          <w:tcPr>
            <w:tcW w:w="3779" w:type="dxa"/>
          </w:tcPr>
          <w:p>
            <w:pPr>
              <w:rPr>
                <w:rFonts w:cstheme="minorHAnsi"/>
                <w:sz w:val="20"/>
                <w:szCs w:val="20"/>
              </w:rPr>
            </w:pPr>
            <w:r>
              <w:rPr>
                <w:rFonts w:cstheme="minorHAnsi"/>
                <w:sz w:val="20"/>
                <w:szCs w:val="20"/>
              </w:rPr>
              <w:t>Longyan Government Official Website</w:t>
            </w:r>
          </w:p>
          <w:p>
            <w:pPr>
              <w:rPr>
                <w:rFonts w:cstheme="minorHAnsi"/>
                <w:sz w:val="20"/>
                <w:szCs w:val="20"/>
              </w:rPr>
            </w:pPr>
            <w:r>
              <w:fldChar w:fldCharType="begin"/>
            </w:r>
            <w:r>
              <w:instrText xml:space="preserve"> HYPERLINK "http://www.longyan.cn/jeecms/html/ywzytw3/20231003/91988.html" </w:instrText>
            </w:r>
            <w:r>
              <w:fldChar w:fldCharType="separate"/>
            </w:r>
            <w:r>
              <w:rPr>
                <w:rStyle w:val="17"/>
                <w:rFonts w:cstheme="minorHAnsi"/>
                <w:sz w:val="20"/>
                <w:szCs w:val="20"/>
              </w:rPr>
              <w:t>http://www.longyan.cn/jeecms/html/ywzytw3/20231003/91988.html</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10/07/2023</w:t>
            </w:r>
          </w:p>
        </w:tc>
        <w:tc>
          <w:tcPr>
            <w:tcW w:w="3779" w:type="dxa"/>
          </w:tcPr>
          <w:p>
            <w:pPr>
              <w:rPr>
                <w:rFonts w:cstheme="minorHAnsi"/>
                <w:sz w:val="20"/>
                <w:szCs w:val="20"/>
              </w:rPr>
            </w:pPr>
            <w:r>
              <w:rPr>
                <w:rFonts w:cstheme="minorHAnsi"/>
                <w:sz w:val="20"/>
                <w:szCs w:val="20"/>
              </w:rPr>
              <w:t>Xishuangbanna State Official Website</w:t>
            </w:r>
          </w:p>
          <w:p>
            <w:pPr>
              <w:rPr>
                <w:rFonts w:cstheme="minorHAnsi"/>
                <w:sz w:val="20"/>
                <w:szCs w:val="20"/>
              </w:rPr>
            </w:pPr>
            <w:r>
              <w:fldChar w:fldCharType="begin"/>
            </w:r>
            <w:r>
              <w:instrText xml:space="preserve"> HYPERLINK "https://www.xsbn.gov.cn/nbhbhq/114954.news.detail.dhtml?news_id=2900234" </w:instrText>
            </w:r>
            <w:r>
              <w:fldChar w:fldCharType="separate"/>
            </w:r>
            <w:r>
              <w:rPr>
                <w:rStyle w:val="17"/>
                <w:rFonts w:cstheme="minorHAnsi"/>
                <w:sz w:val="20"/>
                <w:szCs w:val="20"/>
              </w:rPr>
              <w:t>https://www.xsbn.gov.cn/nbhbhq/114954.news.detail.dhtml?news_id=2900234</w:t>
            </w:r>
            <w:r>
              <w:rPr>
                <w:rStyle w:val="17"/>
                <w:rFonts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10/11/2023</w:t>
            </w:r>
          </w:p>
        </w:tc>
        <w:tc>
          <w:tcPr>
            <w:tcW w:w="3779" w:type="dxa"/>
          </w:tcPr>
          <w:p>
            <w:pPr>
              <w:rPr>
                <w:rFonts w:cstheme="minorHAnsi"/>
                <w:sz w:val="20"/>
                <w:szCs w:val="20"/>
              </w:rPr>
            </w:pPr>
            <w:r>
              <w:rPr>
                <w:rFonts w:cstheme="minorHAnsi"/>
                <w:sz w:val="20"/>
                <w:szCs w:val="20"/>
              </w:rPr>
              <w:t>isenlin.cn</w:t>
            </w:r>
          </w:p>
          <w:p>
            <w:pPr>
              <w:rPr>
                <w:rFonts w:cstheme="minorHAnsi"/>
                <w:sz w:val="20"/>
                <w:szCs w:val="20"/>
              </w:rPr>
            </w:pPr>
            <w:r>
              <w:fldChar w:fldCharType="begin"/>
            </w:r>
            <w:r>
              <w:instrText xml:space="preserve"> HYPERLINK "http://www.isenlin.cn/sf_3E3CA13782564E9FAD3D6246BEFFF4C3_209_55FFF1A1306.html" </w:instrText>
            </w:r>
            <w:r>
              <w:fldChar w:fldCharType="separate"/>
            </w:r>
            <w:r>
              <w:rPr>
                <w:rStyle w:val="17"/>
                <w:rFonts w:hint="eastAsia" w:cstheme="minorHAnsi"/>
                <w:sz w:val="20"/>
                <w:szCs w:val="20"/>
              </w:rPr>
              <w:t>http://www.isenlin.cn/sf_3E3CA13782564E9FAD3D6246BEFFF4C3_209_55FFF1A1306.html</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10/13/2023</w:t>
            </w:r>
          </w:p>
        </w:tc>
        <w:tc>
          <w:tcPr>
            <w:tcW w:w="3779" w:type="dxa"/>
          </w:tcPr>
          <w:p>
            <w:pPr>
              <w:rPr>
                <w:rFonts w:cstheme="minorHAnsi"/>
                <w:sz w:val="20"/>
                <w:szCs w:val="20"/>
              </w:rPr>
            </w:pPr>
            <w:r>
              <w:rPr>
                <w:rFonts w:cstheme="minorHAnsi"/>
                <w:sz w:val="20"/>
                <w:szCs w:val="20"/>
              </w:rPr>
              <w:t>NFGA Official Website</w:t>
            </w:r>
          </w:p>
          <w:p>
            <w:pPr>
              <w:rPr>
                <w:rFonts w:cstheme="minorHAnsi"/>
                <w:sz w:val="20"/>
                <w:szCs w:val="20"/>
              </w:rPr>
            </w:pPr>
            <w:r>
              <w:fldChar w:fldCharType="begin"/>
            </w:r>
            <w:r>
              <w:instrText xml:space="preserve"> HYPERLINK "https://www.forestry.gov.cn/c/stzx/zxzx/526565.jhtml" </w:instrText>
            </w:r>
            <w:r>
              <w:fldChar w:fldCharType="separate"/>
            </w:r>
            <w:r>
              <w:rPr>
                <w:rStyle w:val="17"/>
                <w:rFonts w:hint="eastAsia" w:cstheme="minorHAnsi"/>
                <w:sz w:val="20"/>
                <w:szCs w:val="20"/>
              </w:rPr>
              <w:t>https://www.forestry.gov.cn/c/stzx/zxzx/526565.jhtml</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10/13/2023</w:t>
            </w:r>
          </w:p>
        </w:tc>
        <w:tc>
          <w:tcPr>
            <w:tcW w:w="3779" w:type="dxa"/>
          </w:tcPr>
          <w:p>
            <w:pPr>
              <w:rPr>
                <w:rFonts w:cstheme="minorHAnsi"/>
                <w:sz w:val="20"/>
                <w:szCs w:val="20"/>
              </w:rPr>
            </w:pPr>
            <w:r>
              <w:rPr>
                <w:rFonts w:cstheme="minorHAnsi"/>
                <w:sz w:val="20"/>
                <w:szCs w:val="20"/>
              </w:rPr>
              <w:t>ERPMC WeChat Official Account</w:t>
            </w:r>
          </w:p>
          <w:p>
            <w:pPr>
              <w:rPr>
                <w:rFonts w:cstheme="minorHAnsi"/>
                <w:sz w:val="20"/>
                <w:szCs w:val="20"/>
              </w:rPr>
            </w:pPr>
            <w:r>
              <w:fldChar w:fldCharType="begin"/>
            </w:r>
            <w:r>
              <w:instrText xml:space="preserve"> HYPERLINK "https://mp.weixin.qq.com/s/B9v1q9Z2W1bj4v13Of4EPg" </w:instrText>
            </w:r>
            <w:r>
              <w:fldChar w:fldCharType="separate"/>
            </w:r>
            <w:r>
              <w:rPr>
                <w:rStyle w:val="17"/>
                <w:rFonts w:hint="eastAsia" w:cstheme="minorHAnsi"/>
                <w:sz w:val="20"/>
                <w:szCs w:val="20"/>
              </w:rPr>
              <w:t>https://mp.weixin.qq.com/s/B9v1q9Z2W1bj4v13Of4EPg</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restart"/>
          </w:tcPr>
          <w:p>
            <w:pPr>
              <w:rPr>
                <w:rFonts w:cstheme="minorHAnsi"/>
                <w:sz w:val="20"/>
                <w:szCs w:val="20"/>
              </w:rPr>
            </w:pPr>
            <w:r>
              <w:rPr>
                <w:rFonts w:cstheme="minorHAnsi"/>
                <w:sz w:val="20"/>
                <w:szCs w:val="20"/>
              </w:rPr>
              <w:t>5</w:t>
            </w:r>
          </w:p>
        </w:tc>
        <w:tc>
          <w:tcPr>
            <w:tcW w:w="6284" w:type="dxa"/>
            <w:vMerge w:val="restart"/>
          </w:tcPr>
          <w:p>
            <w:pPr>
              <w:rPr>
                <w:rFonts w:cstheme="minorHAnsi"/>
                <w:sz w:val="20"/>
                <w:szCs w:val="20"/>
              </w:rPr>
            </w:pPr>
            <w:r>
              <w:rPr>
                <w:rFonts w:cstheme="minorHAnsi"/>
                <w:sz w:val="20"/>
                <w:szCs w:val="20"/>
              </w:rPr>
              <w:t>On October 31, the Yunnan Inception Workshop and Forest Landscape Restoration Workshop of the Project were held in Menghai County. The meeting conveyed the essence of the 1st PSC Meeting, which marked the official launch of the project in Yunnan Province. During the meeting, project-related tasks were assigned, the demonstration area and technical routes were finalized, and project management was further strengthened. These efforts will ensure the smooth and organized implementation of the project.</w:t>
            </w:r>
          </w:p>
          <w:p>
            <w:pPr>
              <w:rPr>
                <w:rFonts w:cstheme="minorHAnsi"/>
                <w:sz w:val="20"/>
                <w:szCs w:val="20"/>
              </w:rPr>
            </w:pPr>
            <w:r>
              <w:rPr>
                <w:rFonts w:cstheme="minorHAnsi"/>
                <w:sz w:val="20"/>
                <w:szCs w:val="20"/>
              </w:rPr>
              <w:t>Media Reporting Channel: Multiple national and subnational news platforms and television stations.</w:t>
            </w:r>
          </w:p>
          <w:p>
            <w:pPr>
              <w:rPr>
                <w:rFonts w:cstheme="minorHAnsi"/>
                <w:sz w:val="20"/>
                <w:szCs w:val="20"/>
                <w:lang w:eastAsia="zh-CN"/>
              </w:rPr>
            </w:pPr>
            <w:r>
              <w:rPr>
                <w:rFonts w:hint="eastAsia" w:cstheme="minorHAnsi"/>
                <w:sz w:val="20"/>
                <w:szCs w:val="20"/>
                <w:lang w:eastAsia="zh-CN"/>
              </w:rPr>
              <w:t>10月31日，天保GEF项目云南启动暨森林景观恢复工作研讨会在勐海县召开。会议传达国家天保GEF项目启动会会议精神，启动云南省天保GEF项目，研究部署相关工作，确定森林景观恢复示范区域地块及技术路线，进一步强化项目管理，有序推进项目实施。</w:t>
            </w:r>
          </w:p>
          <w:p>
            <w:pPr>
              <w:rPr>
                <w:rFonts w:cstheme="minorHAnsi"/>
                <w:sz w:val="20"/>
                <w:szCs w:val="20"/>
                <w:lang w:eastAsia="zh-CN"/>
              </w:rPr>
            </w:pPr>
            <w:r>
              <w:rPr>
                <w:rFonts w:hint="eastAsia" w:cstheme="minorHAnsi"/>
                <w:sz w:val="20"/>
                <w:szCs w:val="20"/>
                <w:lang w:eastAsia="zh-CN"/>
              </w:rPr>
              <w:t>媒体报道渠道:多个国家级和省级官方新闻媒体和新闻网站</w:t>
            </w:r>
          </w:p>
          <w:p>
            <w:pPr>
              <w:rPr>
                <w:rFonts w:cstheme="minorHAnsi"/>
                <w:sz w:val="20"/>
                <w:szCs w:val="20"/>
                <w:lang w:eastAsia="zh-CN"/>
              </w:rPr>
            </w:pPr>
          </w:p>
          <w:p>
            <w:pPr>
              <w:rPr>
                <w:rFonts w:cstheme="minorHAnsi"/>
                <w:sz w:val="20"/>
                <w:szCs w:val="20"/>
                <w:lang w:eastAsia="zh-CN"/>
              </w:rPr>
            </w:pPr>
          </w:p>
        </w:tc>
        <w:tc>
          <w:tcPr>
            <w:tcW w:w="3420" w:type="dxa"/>
          </w:tcPr>
          <w:p>
            <w:pPr>
              <w:rPr>
                <w:rFonts w:cstheme="minorHAnsi"/>
                <w:i/>
                <w:iCs/>
                <w:sz w:val="20"/>
                <w:szCs w:val="20"/>
              </w:rPr>
            </w:pPr>
            <w:r>
              <w:rPr>
                <w:rFonts w:cstheme="minorHAnsi"/>
                <w:i/>
                <w:iCs/>
                <w:sz w:val="20"/>
                <w:szCs w:val="20"/>
              </w:rPr>
              <w:t>11/06/2023</w:t>
            </w:r>
          </w:p>
        </w:tc>
        <w:tc>
          <w:tcPr>
            <w:tcW w:w="3779" w:type="dxa"/>
          </w:tcPr>
          <w:p>
            <w:pPr>
              <w:rPr>
                <w:rFonts w:cstheme="minorHAnsi"/>
                <w:sz w:val="20"/>
                <w:szCs w:val="20"/>
              </w:rPr>
            </w:pPr>
            <w:r>
              <w:rPr>
                <w:rFonts w:cstheme="minorHAnsi"/>
                <w:sz w:val="20"/>
                <w:szCs w:val="20"/>
              </w:rPr>
              <w:t>Menghai County Media Center (video news)</w:t>
            </w:r>
          </w:p>
          <w:p>
            <w:pPr>
              <w:rPr>
                <w:rFonts w:cstheme="minorHAnsi"/>
                <w:sz w:val="20"/>
                <w:szCs w:val="20"/>
              </w:rPr>
            </w:pPr>
            <w:r>
              <w:fldChar w:fldCharType="begin"/>
            </w:r>
            <w:r>
              <w:instrText xml:space="preserve"> HYPERLINK "http://www.xsbnrtv.cn/cms/a/10622735/content" </w:instrText>
            </w:r>
            <w:r>
              <w:fldChar w:fldCharType="separate"/>
            </w:r>
            <w:r>
              <w:rPr>
                <w:rStyle w:val="17"/>
                <w:rFonts w:hint="eastAsia" w:cstheme="minorHAnsi"/>
                <w:sz w:val="20"/>
                <w:szCs w:val="20"/>
              </w:rPr>
              <w:t>http://www.xsbnrtv.cn/cms/a/10622735/content</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Style w:val="42"/>
                <w:rFonts w:asciiTheme="minorHAnsi" w:hAnsiTheme="minorHAnsi" w:cstheme="minorHAnsi"/>
                <w:i/>
                <w:iCs/>
                <w:sz w:val="20"/>
                <w:szCs w:val="20"/>
              </w:rPr>
            </w:pPr>
            <w:r>
              <w:rPr>
                <w:rFonts w:cstheme="minorHAnsi"/>
                <w:i/>
                <w:iCs/>
                <w:sz w:val="20"/>
                <w:szCs w:val="20"/>
              </w:rPr>
              <w:t>11/7/2023</w:t>
            </w:r>
          </w:p>
        </w:tc>
        <w:tc>
          <w:tcPr>
            <w:tcW w:w="3779" w:type="dxa"/>
          </w:tcPr>
          <w:p>
            <w:pPr>
              <w:rPr>
                <w:rFonts w:cstheme="minorHAnsi"/>
                <w:sz w:val="20"/>
                <w:szCs w:val="20"/>
              </w:rPr>
            </w:pPr>
            <w:r>
              <w:rPr>
                <w:rFonts w:cstheme="minorHAnsi"/>
                <w:sz w:val="20"/>
                <w:szCs w:val="20"/>
              </w:rPr>
              <w:t>isenlin.cn</w:t>
            </w:r>
          </w:p>
          <w:p>
            <w:pPr>
              <w:rPr>
                <w:rFonts w:cstheme="minorHAnsi"/>
                <w:sz w:val="20"/>
                <w:szCs w:val="20"/>
              </w:rPr>
            </w:pPr>
            <w:r>
              <w:fldChar w:fldCharType="begin"/>
            </w:r>
            <w:r>
              <w:instrText xml:space="preserve"> HYPERLINK "http://www.isenlin.cn/sf_1B7D9E040F354DFB942F2884707198FF_209_B6F995B2631.html" </w:instrText>
            </w:r>
            <w:r>
              <w:fldChar w:fldCharType="separate"/>
            </w:r>
            <w:r>
              <w:rPr>
                <w:rStyle w:val="17"/>
                <w:rFonts w:hint="eastAsia" w:cstheme="minorHAnsi"/>
                <w:sz w:val="20"/>
                <w:szCs w:val="20"/>
              </w:rPr>
              <w:t>http://www.isenlin.cn/sf_1B7D9E040F354DFB942F2884707198FF_209_B6F995B2631.html</w:t>
            </w:r>
            <w:r>
              <w:rPr>
                <w:rStyle w:val="17"/>
                <w:rFonts w:hint="eastAsia" w:cstheme="minorHAnsi"/>
                <w:sz w:val="20"/>
                <w:szCs w:val="20"/>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11/7/2023</w:t>
            </w:r>
          </w:p>
        </w:tc>
        <w:tc>
          <w:tcPr>
            <w:tcW w:w="3779" w:type="dxa"/>
          </w:tcPr>
          <w:p>
            <w:pPr>
              <w:rPr>
                <w:rFonts w:cstheme="minorHAnsi"/>
                <w:sz w:val="20"/>
                <w:szCs w:val="20"/>
              </w:rPr>
            </w:pPr>
            <w:r>
              <w:rPr>
                <w:rFonts w:eastAsia="Microsoft YaHei UI" w:cstheme="minorHAnsi"/>
                <w:sz w:val="20"/>
                <w:szCs w:val="20"/>
              </w:rPr>
              <w:t>Forestry and Grassland Bureau of Yunnan Province</w:t>
            </w:r>
            <w:r>
              <w:rPr>
                <w:rFonts w:cstheme="minorHAnsi"/>
                <w:sz w:val="20"/>
                <w:szCs w:val="20"/>
              </w:rPr>
              <w:t xml:space="preserve"> WeChat Official Account</w:t>
            </w:r>
          </w:p>
          <w:p>
            <w:pPr>
              <w:rPr>
                <w:rFonts w:cstheme="minorHAnsi"/>
                <w:sz w:val="20"/>
                <w:szCs w:val="20"/>
              </w:rPr>
            </w:pPr>
            <w:r>
              <w:fldChar w:fldCharType="begin"/>
            </w:r>
            <w:r>
              <w:instrText xml:space="preserve"> HYPERLINK "https://mp.weixin.qq.com/s/PeI6gnPeLpU7BhslZCu5ZA" </w:instrText>
            </w:r>
            <w:r>
              <w:fldChar w:fldCharType="separate"/>
            </w:r>
            <w:r>
              <w:rPr>
                <w:rStyle w:val="17"/>
                <w:rFonts w:hint="eastAsia" w:cstheme="minorHAnsi"/>
                <w:sz w:val="20"/>
                <w:szCs w:val="20"/>
              </w:rPr>
              <w:t>https://mp.weixin.qq.com/s/PeI6gnPeLpU7BhslZCu5ZA</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11/09/2023</w:t>
            </w:r>
          </w:p>
        </w:tc>
        <w:tc>
          <w:tcPr>
            <w:tcW w:w="3779" w:type="dxa"/>
          </w:tcPr>
          <w:p>
            <w:pPr>
              <w:rPr>
                <w:rFonts w:cstheme="minorHAnsi"/>
                <w:sz w:val="20"/>
                <w:szCs w:val="20"/>
              </w:rPr>
            </w:pPr>
            <w:r>
              <w:rPr>
                <w:rFonts w:eastAsia="Microsoft YaHei UI" w:cstheme="minorHAnsi"/>
                <w:sz w:val="20"/>
                <w:szCs w:val="20"/>
              </w:rPr>
              <w:t>Forestry and Grassland Bureau of Yunnan Province</w:t>
            </w:r>
            <w:r>
              <w:rPr>
                <w:rFonts w:cstheme="minorHAnsi"/>
                <w:sz w:val="20"/>
                <w:szCs w:val="20"/>
              </w:rPr>
              <w:t xml:space="preserve"> Official Website</w:t>
            </w:r>
          </w:p>
          <w:p>
            <w:pPr>
              <w:rPr>
                <w:rFonts w:cstheme="minorHAnsi"/>
                <w:sz w:val="20"/>
                <w:szCs w:val="20"/>
              </w:rPr>
            </w:pPr>
            <w:r>
              <w:fldChar w:fldCharType="begin"/>
            </w:r>
            <w:r>
              <w:instrText xml:space="preserve"> HYPERLINK "http://lcj.yn.gov.cn/html/2023/zuixindongtai_1109/70177.html" </w:instrText>
            </w:r>
            <w:r>
              <w:fldChar w:fldCharType="separate"/>
            </w:r>
            <w:r>
              <w:rPr>
                <w:rStyle w:val="17"/>
                <w:rFonts w:hint="eastAsia" w:cstheme="minorHAnsi"/>
                <w:sz w:val="20"/>
                <w:szCs w:val="20"/>
              </w:rPr>
              <w:t>http://lcj.yn.gov.cn/html/2023/zuixindongtai_1109/70177.html</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11/10/2023</w:t>
            </w:r>
          </w:p>
        </w:tc>
        <w:tc>
          <w:tcPr>
            <w:tcW w:w="3779" w:type="dxa"/>
          </w:tcPr>
          <w:p>
            <w:pPr>
              <w:rPr>
                <w:rFonts w:cstheme="minorHAnsi"/>
                <w:sz w:val="20"/>
                <w:szCs w:val="20"/>
              </w:rPr>
            </w:pPr>
            <w:r>
              <w:rPr>
                <w:rFonts w:cstheme="minorHAnsi"/>
                <w:sz w:val="20"/>
                <w:szCs w:val="20"/>
              </w:rPr>
              <w:t>NFGA Official Website</w:t>
            </w:r>
          </w:p>
          <w:p>
            <w:pPr>
              <w:rPr>
                <w:rFonts w:cstheme="minorHAnsi"/>
                <w:sz w:val="20"/>
                <w:szCs w:val="20"/>
              </w:rPr>
            </w:pPr>
            <w:r>
              <w:fldChar w:fldCharType="begin"/>
            </w:r>
            <w:r>
              <w:instrText xml:space="preserve"> HYPERLINK "https://www.forestry.gov.cn/c/stzx/zxzx/531006.jhtml" </w:instrText>
            </w:r>
            <w:r>
              <w:fldChar w:fldCharType="separate"/>
            </w:r>
            <w:r>
              <w:rPr>
                <w:rStyle w:val="17"/>
                <w:rFonts w:hint="eastAsia" w:cstheme="minorHAnsi"/>
                <w:sz w:val="20"/>
                <w:szCs w:val="20"/>
              </w:rPr>
              <w:t>https://www.forestry.gov.cn/c/stzx/zxzx/531006.jhtml</w:t>
            </w:r>
            <w:r>
              <w:rPr>
                <w:rStyle w:val="17"/>
                <w:rFonts w:hint="eastAsia" w:cstheme="minorHAnsi"/>
                <w:sz w:val="20"/>
                <w:szCs w:val="20"/>
              </w:rPr>
              <w:fldChar w:fldCharType="end"/>
            </w:r>
          </w:p>
          <w:p>
            <w:pPr>
              <w:rPr>
                <w:rFonts w:cstheme="minorHAns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1" w:type="dxa"/>
            <w:vMerge w:val="continue"/>
          </w:tcPr>
          <w:p>
            <w:pPr>
              <w:rPr>
                <w:rFonts w:cstheme="minorHAnsi"/>
                <w:kern w:val="2"/>
                <w:sz w:val="20"/>
                <w:szCs w:val="20"/>
              </w:rPr>
            </w:pPr>
          </w:p>
        </w:tc>
        <w:tc>
          <w:tcPr>
            <w:tcW w:w="6284" w:type="dxa"/>
            <w:vMerge w:val="continue"/>
          </w:tcPr>
          <w:p>
            <w:pPr>
              <w:rPr>
                <w:rFonts w:cstheme="minorHAnsi"/>
                <w:kern w:val="2"/>
                <w:sz w:val="20"/>
                <w:szCs w:val="20"/>
              </w:rPr>
            </w:pPr>
          </w:p>
        </w:tc>
        <w:tc>
          <w:tcPr>
            <w:tcW w:w="3420" w:type="dxa"/>
          </w:tcPr>
          <w:p>
            <w:pPr>
              <w:rPr>
                <w:rFonts w:cstheme="minorHAnsi"/>
                <w:i/>
                <w:iCs/>
                <w:sz w:val="20"/>
                <w:szCs w:val="20"/>
              </w:rPr>
            </w:pPr>
            <w:r>
              <w:rPr>
                <w:rFonts w:cstheme="minorHAnsi"/>
                <w:i/>
                <w:iCs/>
                <w:sz w:val="20"/>
                <w:szCs w:val="20"/>
              </w:rPr>
              <w:t>11/10/2023</w:t>
            </w:r>
          </w:p>
        </w:tc>
        <w:tc>
          <w:tcPr>
            <w:tcW w:w="3779" w:type="dxa"/>
          </w:tcPr>
          <w:p>
            <w:pPr>
              <w:rPr>
                <w:rFonts w:cstheme="minorHAnsi"/>
                <w:sz w:val="20"/>
                <w:szCs w:val="20"/>
              </w:rPr>
            </w:pPr>
            <w:r>
              <w:rPr>
                <w:rFonts w:cstheme="minorHAnsi"/>
                <w:sz w:val="20"/>
                <w:szCs w:val="20"/>
              </w:rPr>
              <w:t>ERPMC WeWhat Official Account</w:t>
            </w:r>
          </w:p>
          <w:p>
            <w:pPr>
              <w:rPr>
                <w:rFonts w:cstheme="minorHAnsi"/>
                <w:sz w:val="20"/>
                <w:szCs w:val="20"/>
              </w:rPr>
            </w:pPr>
            <w:r>
              <w:fldChar w:fldCharType="begin"/>
            </w:r>
            <w:r>
              <w:instrText xml:space="preserve"> HYPERLINK "https://mp.weixin.qq.com/s/EMoi4-O9dX-_M1k0Uarc-Q" </w:instrText>
            </w:r>
            <w:r>
              <w:fldChar w:fldCharType="separate"/>
            </w:r>
            <w:r>
              <w:rPr>
                <w:rStyle w:val="17"/>
                <w:rFonts w:hint="eastAsia" w:cstheme="minorHAnsi"/>
                <w:sz w:val="20"/>
                <w:szCs w:val="20"/>
              </w:rPr>
              <w:t>https://mp.weixin.qq.com/s/EMoi4-O9dX-_M1k0Uarc-Q</w:t>
            </w:r>
            <w:r>
              <w:rPr>
                <w:rStyle w:val="17"/>
                <w:rFonts w:hint="eastAsia" w:cstheme="minorHAnsi"/>
                <w:sz w:val="20"/>
                <w:szCs w:val="20"/>
              </w:rPr>
              <w:fldChar w:fldCharType="end"/>
            </w:r>
          </w:p>
          <w:p>
            <w:pPr>
              <w:rPr>
                <w:rFonts w:cstheme="minorHAnsi"/>
                <w:sz w:val="20"/>
                <w:szCs w:val="20"/>
              </w:rPr>
            </w:pPr>
          </w:p>
        </w:tc>
      </w:tr>
    </w:tbl>
    <w:p>
      <w:pPr>
        <w:rPr>
          <w:rFonts w:cstheme="minorHAnsi"/>
          <w:sz w:val="20"/>
          <w:szCs w:val="20"/>
        </w:rPr>
      </w:pPr>
    </w:p>
    <w:p>
      <w:pPr>
        <w:pStyle w:val="2"/>
        <w:rPr>
          <w:b w:val="0"/>
        </w:rPr>
      </w:pPr>
      <w:r>
        <w:t xml:space="preserve">F. LESSONS LEARNED AND WAY FORWARD  </w:t>
      </w:r>
      <w:bookmarkStart w:id="1" w:name="_Hlk151976459"/>
      <w:r>
        <w:rPr>
          <w:rFonts w:hint="eastAsia"/>
        </w:rPr>
        <w:t>经验教训</w:t>
      </w:r>
      <w:bookmarkEnd w:id="1"/>
      <w:r>
        <w:rPr>
          <w:rFonts w:hint="eastAsia"/>
        </w:rPr>
        <w:t>和</w:t>
      </w:r>
      <w:r>
        <w:rPr>
          <w:rFonts w:hint="eastAsia"/>
          <w:lang w:eastAsia="zh-CN"/>
        </w:rPr>
        <w:t>向前推进</w:t>
      </w:r>
    </w:p>
    <w:p>
      <w:pPr>
        <w:rPr>
          <w:b/>
          <w:bCs/>
          <w:u w:val="single"/>
        </w:rPr>
      </w:pPr>
    </w:p>
    <w:p>
      <w:pPr>
        <w:pStyle w:val="3"/>
      </w:pPr>
      <w:r>
        <w:t xml:space="preserve">F.1 </w:t>
      </w:r>
      <w:r>
        <w:rPr>
          <w:rFonts w:hint="eastAsia"/>
          <w:lang w:eastAsia="zh-CN"/>
        </w:rPr>
        <w:t>Less</w:t>
      </w:r>
      <w:r>
        <w:t>ons Learned</w:t>
      </w:r>
      <w:r>
        <w:rPr>
          <w:rFonts w:hint="eastAsia"/>
        </w:rPr>
        <w:t>经验教训</w:t>
      </w:r>
    </w:p>
    <w:p>
      <w:pPr>
        <w:pStyle w:val="20"/>
        <w:rPr>
          <w:b/>
          <w:bCs/>
        </w:rPr>
      </w:pPr>
    </w:p>
    <w:p>
      <w:pPr>
        <w:pStyle w:val="20"/>
      </w:pPr>
      <w:r>
        <w:rPr>
          <w:b/>
          <w:bCs/>
        </w:rPr>
        <w:t>Guidance</w:t>
      </w:r>
      <w:r>
        <w:t xml:space="preserve">. Describe </w:t>
      </w:r>
      <w:r>
        <w:rPr>
          <w:rFonts w:hint="eastAsia"/>
          <w:lang w:eastAsia="zh-CN"/>
        </w:rPr>
        <w:t>an</w:t>
      </w:r>
      <w:r>
        <w:t xml:space="preserve">y lessons that will be applied to address challenges or improve the implementation pace. Outline any good practices, as applicable. </w:t>
      </w:r>
    </w:p>
    <w:p>
      <w:pPr>
        <w:pStyle w:val="11"/>
        <w:rPr>
          <w:lang w:eastAsia="zh-CN"/>
        </w:rPr>
      </w:pPr>
      <w:r>
        <w:rPr>
          <w:rFonts w:hint="eastAsia"/>
          <w:lang w:eastAsia="zh-CN"/>
        </w:rPr>
        <w:t>说明：描述将用于应对挑战或提高项目实施进度的任何经验教训。概述任何适用的良好做法。</w:t>
      </w:r>
    </w:p>
    <w:p>
      <w:pPr>
        <w:pStyle w:val="11"/>
        <w:rPr>
          <w:rFonts w:ascii="Calibri" w:hAnsi="Calibri" w:eastAsia="Times New Roman" w:cs="Calibri"/>
          <w:bCs/>
          <w:sz w:val="24"/>
          <w:szCs w:val="24"/>
          <w:lang w:eastAsia="zh-CN"/>
        </w:rPr>
      </w:pPr>
      <w:r>
        <w:rPr>
          <w:rFonts w:ascii="Calibri" w:hAnsi="Calibri" w:eastAsia="Times New Roman" w:cs="Calibri"/>
          <w:bCs/>
          <w:sz w:val="24"/>
          <w:szCs w:val="24"/>
          <w:lang w:eastAsia="zh-CN"/>
        </w:rPr>
        <w:t xml:space="preserve">  </w:t>
      </w:r>
    </w:p>
    <w:p>
      <w:pPr>
        <w:rPr>
          <w:rFonts w:cstheme="minorHAnsi"/>
          <w:i/>
          <w:color w:val="767171" w:themeColor="background2" w:themeShade="80"/>
          <w:sz w:val="20"/>
          <w:szCs w:val="20"/>
          <w:lang w:val="en-GB" w:eastAsia="zh-CN"/>
        </w:rPr>
      </w:pPr>
    </w:p>
    <w:p>
      <w:pPr>
        <w:pStyle w:val="3"/>
      </w:pPr>
      <w:r>
        <w:t>F.2 Way Forward</w:t>
      </w:r>
      <w:r>
        <w:rPr>
          <w:rFonts w:hint="eastAsia"/>
          <w:lang w:eastAsia="zh-CN"/>
        </w:rPr>
        <w:t>向前推进</w:t>
      </w:r>
    </w:p>
    <w:p>
      <w:pPr>
        <w:pStyle w:val="11"/>
      </w:pPr>
    </w:p>
    <w:p>
      <w:pPr>
        <w:pStyle w:val="20"/>
      </w:pPr>
      <w:r>
        <w:rPr>
          <w:b/>
          <w:bCs/>
        </w:rPr>
        <w:t xml:space="preserve">Guidance. </w:t>
      </w:r>
      <w:r>
        <w:t>List key issues which need to be followed up and addressed for the next reporting period.</w:t>
      </w:r>
    </w:p>
    <w:p>
      <w:pPr>
        <w:pStyle w:val="11"/>
        <w:rPr>
          <w:lang w:eastAsia="zh-CN"/>
        </w:rPr>
      </w:pPr>
      <w:r>
        <w:rPr>
          <w:rFonts w:hint="eastAsia"/>
          <w:lang w:eastAsia="zh-CN"/>
        </w:rPr>
        <w:t>说明：列出下一个报告期需要跟进和解决的关键问题。</w:t>
      </w:r>
    </w:p>
    <w:p>
      <w:pPr>
        <w:pStyle w:val="11"/>
        <w:rPr>
          <w:lang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3000"/>
        <w:gridCol w:w="3615"/>
        <w:gridCol w:w="2513"/>
        <w:gridCol w:w="2270"/>
        <w:gridCol w:w="2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shd w:val="clear" w:color="auto" w:fill="2E75B5" w:themeFill="accent5" w:themeFillShade="BF"/>
          </w:tcPr>
          <w:p>
            <w:pPr>
              <w:rPr>
                <w:b/>
                <w:color w:val="FFFFFF" w:themeColor="background1"/>
                <w:lang w:eastAsia="zh-CN"/>
                <w14:textFill>
                  <w14:solidFill>
                    <w14:schemeClr w14:val="bg1"/>
                  </w14:solidFill>
                </w14:textFill>
              </w:rPr>
            </w:pPr>
            <w:r>
              <w:rPr>
                <w:rFonts w:hint="eastAsia"/>
                <w:b/>
                <w:color w:val="FFFFFF" w:themeColor="background1"/>
                <w:lang w:eastAsia="zh-CN"/>
                <w14:textFill>
                  <w14:solidFill>
                    <w14:schemeClr w14:val="bg1"/>
                  </w14:solidFill>
                </w14:textFill>
              </w:rPr>
              <w:t>#</w:t>
            </w:r>
          </w:p>
        </w:tc>
        <w:tc>
          <w:tcPr>
            <w:tcW w:w="3000" w:type="dxa"/>
            <w:shd w:val="clear" w:color="auto" w:fill="2E75B5" w:themeFill="accent5" w:themeFillShade="BF"/>
          </w:tcPr>
          <w:p>
            <w:pPr>
              <w:rPr>
                <w:b/>
                <w:bCs/>
                <w:color w:val="FFFFFF" w:themeColor="background1"/>
                <w14:textFill>
                  <w14:solidFill>
                    <w14:schemeClr w14:val="bg1"/>
                  </w14:solidFill>
                </w14:textFill>
              </w:rPr>
            </w:pPr>
          </w:p>
        </w:tc>
        <w:tc>
          <w:tcPr>
            <w:tcW w:w="3615" w:type="dxa"/>
            <w:shd w:val="clear" w:color="auto" w:fill="2E75B5" w:themeFill="accent5" w:themeFillShade="BF"/>
          </w:tcPr>
          <w:p>
            <w:pP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I</w:t>
            </w:r>
            <w:r>
              <w:rPr>
                <w:b/>
                <w:bCs/>
                <w:color w:val="FFFFFF" w:themeColor="background1"/>
                <w14:textFill>
                  <w14:solidFill>
                    <w14:schemeClr w14:val="bg1"/>
                  </w14:solidFill>
                </w14:textFill>
              </w:rPr>
              <w:t>ssue/observation</w:t>
            </w:r>
          </w:p>
        </w:tc>
        <w:tc>
          <w:tcPr>
            <w:tcW w:w="2513" w:type="dxa"/>
            <w:shd w:val="clear" w:color="auto" w:fill="2E75B5" w:themeFill="accent5" w:themeFillShade="BF"/>
          </w:tcPr>
          <w:p>
            <w:pP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A</w:t>
            </w:r>
            <w:r>
              <w:rPr>
                <w:b/>
                <w:bCs/>
                <w:color w:val="FFFFFF" w:themeColor="background1"/>
                <w14:textFill>
                  <w14:solidFill>
                    <w14:schemeClr w14:val="bg1"/>
                  </w14:solidFill>
                </w14:textFill>
              </w:rPr>
              <w:t>ction to be taken</w:t>
            </w:r>
          </w:p>
        </w:tc>
        <w:tc>
          <w:tcPr>
            <w:tcW w:w="2270" w:type="dxa"/>
            <w:shd w:val="clear" w:color="auto" w:fill="2E75B5" w:themeFill="accent5" w:themeFillShade="BF"/>
          </w:tcPr>
          <w:p>
            <w:pP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R</w:t>
            </w:r>
            <w:r>
              <w:rPr>
                <w:b/>
                <w:bCs/>
                <w:color w:val="FFFFFF" w:themeColor="background1"/>
                <w14:textFill>
                  <w14:solidFill>
                    <w14:schemeClr w14:val="bg1"/>
                  </w14:solidFill>
                </w14:textFill>
              </w:rPr>
              <w:t>esponsible</w:t>
            </w:r>
          </w:p>
        </w:tc>
        <w:tc>
          <w:tcPr>
            <w:tcW w:w="2084" w:type="dxa"/>
            <w:shd w:val="clear" w:color="auto" w:fill="2E75B5" w:themeFill="accent5" w:themeFillShade="BF"/>
          </w:tcPr>
          <w:p>
            <w:pP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T</w:t>
            </w:r>
            <w:r>
              <w:rPr>
                <w:b/>
                <w:bCs/>
                <w:color w:val="FFFFFF" w:themeColor="background1"/>
                <w14:textFill>
                  <w14:solidFill>
                    <w14:schemeClr w14:val="bg1"/>
                  </w14:solidFill>
                </w14:textFill>
              </w:rPr>
              <w:t>imeline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tcPr>
          <w:p>
            <w:pPr>
              <w:pStyle w:val="11"/>
              <w:rPr>
                <w:lang w:eastAsia="zh-CN"/>
              </w:rPr>
            </w:pPr>
            <w:r>
              <w:rPr>
                <w:lang w:eastAsia="zh-CN"/>
              </w:rPr>
              <w:t>1</w:t>
            </w:r>
          </w:p>
        </w:tc>
        <w:tc>
          <w:tcPr>
            <w:tcW w:w="3000" w:type="dxa"/>
          </w:tcPr>
          <w:p>
            <w:pPr>
              <w:pStyle w:val="11"/>
              <w:rPr>
                <w:rFonts w:cstheme="minorHAnsi"/>
                <w:i/>
                <w:color w:val="767171" w:themeColor="background2" w:themeShade="80"/>
                <w:sz w:val="20"/>
                <w:szCs w:val="20"/>
                <w:lang w:val="en-GB" w:eastAsia="zh-CN"/>
              </w:rPr>
            </w:pPr>
          </w:p>
        </w:tc>
        <w:tc>
          <w:tcPr>
            <w:tcW w:w="3615" w:type="dxa"/>
          </w:tcPr>
          <w:p>
            <w:pPr>
              <w:pStyle w:val="11"/>
              <w:rPr>
                <w:rFonts w:cstheme="minorHAnsi"/>
                <w:i/>
                <w:color w:val="767171" w:themeColor="background2" w:themeShade="80"/>
                <w:sz w:val="20"/>
                <w:szCs w:val="20"/>
                <w:lang w:val="en-GB" w:eastAsia="zh-CN"/>
              </w:rPr>
            </w:pPr>
            <w:r>
              <w:rPr>
                <w:rFonts w:cstheme="minorHAnsi"/>
                <w:i/>
                <w:color w:val="767171" w:themeColor="background2" w:themeShade="80"/>
                <w:sz w:val="20"/>
                <w:szCs w:val="20"/>
                <w:lang w:val="en-GB" w:eastAsia="zh-CN"/>
              </w:rPr>
              <w:t>[e.g. A project deliverable has been damaged due to the fire incident, impeding acceptance and final payment.]</w:t>
            </w:r>
          </w:p>
        </w:tc>
        <w:tc>
          <w:tcPr>
            <w:tcW w:w="2513" w:type="dxa"/>
          </w:tcPr>
          <w:p>
            <w:pPr>
              <w:rPr>
                <w:rFonts w:cstheme="minorHAnsi"/>
                <w:i/>
                <w:color w:val="767171" w:themeColor="background2" w:themeShade="80"/>
                <w:sz w:val="20"/>
                <w:szCs w:val="20"/>
                <w:lang w:val="en-GB" w:eastAsia="zh-CN"/>
              </w:rPr>
            </w:pPr>
            <w:r>
              <w:rPr>
                <w:rFonts w:cstheme="minorHAnsi"/>
                <w:i/>
                <w:color w:val="767171" w:themeColor="background2" w:themeShade="80"/>
                <w:sz w:val="20"/>
                <w:szCs w:val="20"/>
                <w:lang w:val="en-GB" w:eastAsia="zh-CN"/>
              </w:rPr>
              <w:t>[e.g. Check with legal dept/lawyers on the liabilities of the incident]</w:t>
            </w:r>
          </w:p>
        </w:tc>
        <w:tc>
          <w:tcPr>
            <w:tcW w:w="2270" w:type="dxa"/>
          </w:tcPr>
          <w:p>
            <w:pPr>
              <w:rPr>
                <w:rFonts w:cstheme="minorHAnsi"/>
                <w:i/>
                <w:color w:val="767171" w:themeColor="background2" w:themeShade="80"/>
                <w:sz w:val="20"/>
                <w:szCs w:val="20"/>
                <w:lang w:val="en-GB" w:eastAsia="zh-CN"/>
              </w:rPr>
            </w:pPr>
            <w:r>
              <w:rPr>
                <w:rFonts w:cstheme="minorHAnsi"/>
                <w:i/>
                <w:color w:val="767171" w:themeColor="background2" w:themeShade="80"/>
                <w:sz w:val="20"/>
                <w:szCs w:val="20"/>
                <w:lang w:val="en-GB" w:eastAsia="zh-CN"/>
              </w:rPr>
              <w:t>[e.g. xxx government]</w:t>
            </w:r>
          </w:p>
        </w:tc>
        <w:tc>
          <w:tcPr>
            <w:tcW w:w="2084" w:type="dxa"/>
          </w:tcPr>
          <w:p>
            <w:pPr>
              <w:rPr>
                <w:rFonts w:cstheme="minorHAnsi"/>
                <w:i/>
                <w:color w:val="767171" w:themeColor="background2" w:themeShade="80"/>
                <w:sz w:val="20"/>
                <w:szCs w:val="20"/>
                <w:lang w:val="en-GB" w:eastAsia="zh-CN"/>
              </w:rPr>
            </w:pPr>
            <w:r>
              <w:rPr>
                <w:rFonts w:cstheme="minorHAnsi"/>
                <w:i/>
                <w:color w:val="767171" w:themeColor="background2" w:themeShade="80"/>
                <w:sz w:val="20"/>
                <w:szCs w:val="20"/>
                <w:lang w:val="en-GB" w:eastAsia="zh-CN"/>
              </w:rPr>
              <w:t>[e.g. ASAP]]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tcPr>
          <w:p>
            <w:pPr>
              <w:pStyle w:val="11"/>
              <w:rPr>
                <w:lang w:eastAsia="zh-CN"/>
              </w:rPr>
            </w:pPr>
            <w:r>
              <w:rPr>
                <w:lang w:eastAsia="zh-CN"/>
              </w:rPr>
              <w:t>2</w:t>
            </w:r>
          </w:p>
        </w:tc>
        <w:tc>
          <w:tcPr>
            <w:tcW w:w="3000" w:type="dxa"/>
          </w:tcPr>
          <w:p>
            <w:pPr>
              <w:pStyle w:val="11"/>
            </w:pPr>
          </w:p>
        </w:tc>
        <w:tc>
          <w:tcPr>
            <w:tcW w:w="3615" w:type="dxa"/>
          </w:tcPr>
          <w:p>
            <w:pPr>
              <w:pStyle w:val="11"/>
            </w:pPr>
          </w:p>
        </w:tc>
        <w:tc>
          <w:tcPr>
            <w:tcW w:w="2513" w:type="dxa"/>
          </w:tcPr>
          <w:p>
            <w:pPr>
              <w:pStyle w:val="11"/>
            </w:pPr>
          </w:p>
        </w:tc>
        <w:tc>
          <w:tcPr>
            <w:tcW w:w="2270" w:type="dxa"/>
          </w:tcPr>
          <w:p>
            <w:pPr>
              <w:pStyle w:val="11"/>
            </w:pPr>
          </w:p>
        </w:tc>
        <w:tc>
          <w:tcPr>
            <w:tcW w:w="2084" w:type="dxa"/>
          </w:tcPr>
          <w:p>
            <w:pPr>
              <w:pStyle w:val="11"/>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 w:type="dxa"/>
          </w:tcPr>
          <w:p>
            <w:pPr>
              <w:pStyle w:val="11"/>
              <w:rPr>
                <w:lang w:eastAsia="zh-CN"/>
              </w:rPr>
            </w:pPr>
            <w:r>
              <w:t>[+]</w:t>
            </w:r>
          </w:p>
        </w:tc>
        <w:tc>
          <w:tcPr>
            <w:tcW w:w="3000" w:type="dxa"/>
          </w:tcPr>
          <w:p>
            <w:pPr>
              <w:pStyle w:val="11"/>
            </w:pPr>
          </w:p>
        </w:tc>
        <w:tc>
          <w:tcPr>
            <w:tcW w:w="3615" w:type="dxa"/>
          </w:tcPr>
          <w:p>
            <w:pPr>
              <w:pStyle w:val="11"/>
            </w:pPr>
          </w:p>
        </w:tc>
        <w:tc>
          <w:tcPr>
            <w:tcW w:w="2513" w:type="dxa"/>
          </w:tcPr>
          <w:p>
            <w:pPr>
              <w:pStyle w:val="11"/>
            </w:pPr>
          </w:p>
        </w:tc>
        <w:tc>
          <w:tcPr>
            <w:tcW w:w="2270" w:type="dxa"/>
          </w:tcPr>
          <w:p>
            <w:pPr>
              <w:pStyle w:val="11"/>
            </w:pPr>
          </w:p>
        </w:tc>
        <w:tc>
          <w:tcPr>
            <w:tcW w:w="2084" w:type="dxa"/>
          </w:tcPr>
          <w:p>
            <w:pPr>
              <w:pStyle w:val="11"/>
            </w:pPr>
          </w:p>
        </w:tc>
      </w:tr>
    </w:tbl>
    <w:p/>
    <w:p>
      <w:pPr>
        <w:pStyle w:val="2"/>
      </w:pPr>
      <w:r>
        <w:t>G. ANNEXES</w:t>
      </w:r>
    </w:p>
    <w:p/>
    <w:p>
      <w:pPr>
        <w:pStyle w:val="20"/>
      </w:pPr>
      <w:r>
        <w:rPr>
          <w:b/>
          <w:bCs/>
        </w:rPr>
        <w:t>Guidance</w:t>
      </w:r>
      <w:r>
        <w:t xml:space="preserve">. Include any detailed project information here, e.g. meeting minutes, detailed action plan, agreement signed, etc. Chinese version is also acceptable. </w:t>
      </w:r>
    </w:p>
    <w:p>
      <w:pPr>
        <w:pStyle w:val="11"/>
        <w:numPr>
          <w:ilvl w:val="0"/>
          <w:numId w:val="10"/>
        </w:numPr>
        <w:rPr>
          <w:lang w:eastAsia="zh-CN"/>
        </w:rPr>
      </w:pPr>
      <w:r>
        <w:rPr>
          <w:rFonts w:hint="eastAsia"/>
          <w:lang w:eastAsia="zh-CN"/>
        </w:rPr>
        <w:t>Minutes</w:t>
      </w:r>
      <w:r>
        <w:rPr>
          <w:lang w:eastAsia="zh-CN"/>
        </w:rPr>
        <w:t xml:space="preserve"> </w:t>
      </w:r>
      <w:r>
        <w:rPr>
          <w:rFonts w:hint="eastAsia"/>
          <w:lang w:eastAsia="zh-CN"/>
        </w:rPr>
        <w:t>o</w:t>
      </w:r>
      <w:r>
        <w:rPr>
          <w:lang w:eastAsia="zh-CN"/>
        </w:rPr>
        <w:t>f the 1</w:t>
      </w:r>
      <w:r>
        <w:rPr>
          <w:vertAlign w:val="superscript"/>
          <w:lang w:eastAsia="zh-CN"/>
        </w:rPr>
        <w:t>st</w:t>
      </w:r>
      <w:r>
        <w:rPr>
          <w:lang w:eastAsia="zh-CN"/>
        </w:rPr>
        <w:t xml:space="preserve"> PSC meeting.</w:t>
      </w:r>
    </w:p>
    <w:p>
      <w:pPr>
        <w:pStyle w:val="11"/>
        <w:rPr>
          <w:rFonts w:hint="eastAsia"/>
          <w:lang w:eastAsia="zh-CN"/>
        </w:rPr>
      </w:pPr>
    </w:p>
    <w:p>
      <w:pPr>
        <w:pStyle w:val="11"/>
        <w:rPr>
          <w:lang w:eastAsia="zh-CN"/>
        </w:rPr>
      </w:pPr>
    </w:p>
    <w:p>
      <w:pPr>
        <w:pStyle w:val="11"/>
        <w:rPr>
          <w:lang w:eastAsia="zh-CN"/>
        </w:rPr>
      </w:pPr>
    </w:p>
    <w:p>
      <w:pPr>
        <w:pStyle w:val="11"/>
        <w:rPr>
          <w:lang w:eastAsia="zh-CN"/>
        </w:rPr>
      </w:pPr>
    </w:p>
    <w:p>
      <w:pPr>
        <w:pStyle w:val="11"/>
        <w:rPr>
          <w:lang w:eastAsia="zh-CN"/>
        </w:rPr>
      </w:pPr>
    </w:p>
    <w:p>
      <w:pPr>
        <w:pStyle w:val="11"/>
        <w:rPr>
          <w:lang w:eastAsia="zh-CN"/>
        </w:rPr>
      </w:pPr>
    </w:p>
    <w:p>
      <w:pPr>
        <w:pStyle w:val="11"/>
        <w:rPr>
          <w:lang w:eastAsia="zh-CN"/>
        </w:rPr>
      </w:pPr>
      <w:r>
        <w:rPr>
          <w:lang w:eastAsia="zh-CN"/>
        </w:rPr>
        <w:t>Annex 1 Minutes of the 1</w:t>
      </w:r>
      <w:r>
        <w:rPr>
          <w:vertAlign w:val="superscript"/>
          <w:lang w:eastAsia="zh-CN"/>
        </w:rPr>
        <w:t>st</w:t>
      </w:r>
      <w:r>
        <w:rPr>
          <w:lang w:eastAsia="zh-CN"/>
        </w:rPr>
        <w:t xml:space="preserve"> PSC meeting </w:t>
      </w:r>
    </w:p>
    <w:p>
      <w:pPr>
        <w:widowControl w:val="0"/>
        <w:jc w:val="center"/>
        <w:rPr>
          <w:rFonts w:ascii="Calibri" w:hAnsi="Calibri" w:eastAsia="仿宋" w:cs="Calibri"/>
          <w:b/>
          <w:bCs/>
          <w:kern w:val="2"/>
          <w:sz w:val="21"/>
          <w:szCs w:val="21"/>
          <w:lang w:eastAsia="zh-CN"/>
        </w:rPr>
      </w:pPr>
      <w:r>
        <w:rPr>
          <w:rFonts w:ascii="Calibri" w:hAnsi="Calibri" w:eastAsia="仿宋" w:cs="Calibri"/>
          <w:b/>
          <w:bCs/>
          <w:kern w:val="2"/>
          <w:sz w:val="21"/>
          <w:szCs w:val="21"/>
          <w:lang w:eastAsia="zh-CN"/>
        </w:rPr>
        <w:t>Minutes of the 1</w:t>
      </w:r>
      <w:r>
        <w:rPr>
          <w:rFonts w:ascii="Calibri" w:hAnsi="Calibri" w:eastAsia="仿宋" w:cs="Calibri"/>
          <w:b/>
          <w:bCs/>
          <w:kern w:val="2"/>
          <w:sz w:val="21"/>
          <w:szCs w:val="21"/>
          <w:vertAlign w:val="superscript"/>
          <w:lang w:eastAsia="zh-CN"/>
        </w:rPr>
        <w:t>st</w:t>
      </w:r>
      <w:r>
        <w:rPr>
          <w:rFonts w:ascii="Calibri" w:hAnsi="Calibri" w:eastAsia="仿宋" w:cs="Calibri"/>
          <w:b/>
          <w:bCs/>
          <w:kern w:val="2"/>
          <w:sz w:val="21"/>
          <w:szCs w:val="21"/>
          <w:lang w:eastAsia="zh-CN"/>
        </w:rPr>
        <w:t xml:space="preserve"> Project Steering Committee (PSC) Meeting</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Project name</w:t>
      </w:r>
      <w:r>
        <w:rPr>
          <w:rFonts w:ascii="Calibri" w:hAnsi="Calibri" w:eastAsia="仿宋" w:cs="Calibri"/>
          <w:kern w:val="2"/>
          <w:sz w:val="21"/>
          <w:szCs w:val="21"/>
          <w:lang w:eastAsia="zh-CN"/>
        </w:rPr>
        <w:t xml:space="preserve">: UNDP-GEF Restoration of Degraded Natural Forests and Soil Erosion Management Improvement in Erosion-Prone Regions of China Project                               </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Date</w:t>
      </w:r>
      <w:r>
        <w:rPr>
          <w:rFonts w:ascii="Calibri" w:hAnsi="Calibri" w:eastAsia="仿宋" w:cs="Calibri"/>
          <w:kern w:val="2"/>
          <w:sz w:val="21"/>
          <w:szCs w:val="21"/>
          <w:lang w:eastAsia="zh-CN"/>
        </w:rPr>
        <w:t xml:space="preserve">: 25 September, 2023                                                      </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Venue</w:t>
      </w:r>
      <w:r>
        <w:rPr>
          <w:rFonts w:ascii="Calibri" w:hAnsi="Calibri" w:eastAsia="仿宋" w:cs="Calibri"/>
          <w:kern w:val="2"/>
          <w:sz w:val="21"/>
          <w:szCs w:val="21"/>
          <w:lang w:eastAsia="zh-CN"/>
        </w:rPr>
        <w:t>: Conference room, 3</w:t>
      </w:r>
      <w:r>
        <w:rPr>
          <w:rFonts w:ascii="Calibri" w:hAnsi="Calibri" w:eastAsia="仿宋" w:cs="Calibri"/>
          <w:kern w:val="2"/>
          <w:sz w:val="21"/>
          <w:szCs w:val="21"/>
          <w:vertAlign w:val="superscript"/>
          <w:lang w:eastAsia="zh-CN"/>
        </w:rPr>
        <w:t>rd</w:t>
      </w:r>
      <w:r>
        <w:rPr>
          <w:rFonts w:ascii="Calibri" w:hAnsi="Calibri" w:eastAsia="仿宋" w:cs="Calibri"/>
          <w:kern w:val="2"/>
          <w:sz w:val="21"/>
          <w:szCs w:val="21"/>
          <w:lang w:eastAsia="zh-CN"/>
        </w:rPr>
        <w:t xml:space="preserve"> floor, Changting Hotel, Changting County, Fujian Province </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Online</w:t>
      </w:r>
      <w:r>
        <w:rPr>
          <w:rFonts w:ascii="Calibri" w:hAnsi="Calibri" w:eastAsia="仿宋" w:cs="Calibri"/>
          <w:kern w:val="2"/>
          <w:sz w:val="21"/>
          <w:szCs w:val="21"/>
          <w:lang w:eastAsia="zh-CN"/>
        </w:rPr>
        <w:t>:</w:t>
      </w:r>
      <w:r>
        <w:rPr>
          <w:rFonts w:ascii="Calibri" w:hAnsi="Calibri" w:eastAsia="仿宋" w:cs="Calibri"/>
          <w:b/>
          <w:bCs/>
          <w:kern w:val="2"/>
          <w:sz w:val="21"/>
          <w:szCs w:val="21"/>
          <w:lang w:eastAsia="zh-CN"/>
        </w:rPr>
        <w:t xml:space="preserve"> </w:t>
      </w:r>
      <w:r>
        <w:rPr>
          <w:rFonts w:ascii="Calibri" w:hAnsi="Calibri" w:eastAsia="仿宋" w:cs="Calibri"/>
          <w:kern w:val="2"/>
          <w:sz w:val="21"/>
          <w:szCs w:val="21"/>
          <w:lang w:eastAsia="zh-CN"/>
        </w:rPr>
        <w:t xml:space="preserve">Tencent Conference 326-666-043                                                 </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Facilitator</w:t>
      </w:r>
      <w:r>
        <w:rPr>
          <w:rFonts w:ascii="Calibri" w:hAnsi="Calibri" w:eastAsia="仿宋" w:cs="Calibri"/>
          <w:kern w:val="2"/>
          <w:sz w:val="21"/>
          <w:szCs w:val="21"/>
          <w:lang w:eastAsia="zh-CN"/>
        </w:rPr>
        <w:t xml:space="preserve">: Fu Changjie, National Project Director of the Project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 </w:t>
      </w:r>
    </w:p>
    <w:p>
      <w:pPr>
        <w:widowControl w:val="0"/>
        <w:jc w:val="both"/>
        <w:rPr>
          <w:rFonts w:ascii="Calibri" w:hAnsi="Calibri" w:eastAsia="等线" w:cs="Calibri"/>
          <w:kern w:val="2"/>
          <w:sz w:val="21"/>
          <w:szCs w:val="21"/>
          <w:lang w:eastAsia="zh-CN"/>
        </w:rPr>
      </w:pPr>
      <w:r>
        <w:rPr>
          <w:rFonts w:ascii="Calibri" w:hAnsi="Calibri" w:eastAsia="仿宋" w:cs="Calibri"/>
          <w:kern w:val="2"/>
          <w:sz w:val="21"/>
          <w:szCs w:val="21"/>
          <w:lang w:eastAsia="zh-CN"/>
        </w:rPr>
        <w:t>On 25 September 2023, the Project Inception Workshop and the 1</w:t>
      </w:r>
      <w:r>
        <w:rPr>
          <w:rFonts w:ascii="Calibri" w:hAnsi="Calibri" w:eastAsia="仿宋" w:cs="Calibri"/>
          <w:kern w:val="2"/>
          <w:sz w:val="21"/>
          <w:szCs w:val="21"/>
          <w:vertAlign w:val="superscript"/>
          <w:lang w:eastAsia="zh-CN"/>
        </w:rPr>
        <w:t>st</w:t>
      </w:r>
      <w:r>
        <w:rPr>
          <w:rFonts w:ascii="Calibri" w:hAnsi="Calibri" w:eastAsia="仿宋" w:cs="Calibri"/>
          <w:kern w:val="2"/>
          <w:sz w:val="21"/>
          <w:szCs w:val="21"/>
          <w:lang w:eastAsia="zh-CN"/>
        </w:rPr>
        <w:t xml:space="preserve"> PSC meeting were held in Changting County, Fujian Province, with 50 participants from Ministry of Finance (online), National Forestry and Grassland Administration, UNDP China, Provincial Forestry and Grassland Bureaus of Fujian, Chongqing, Yunnan, Guizhou, and Gansu, National Project Management Office, PMUs of the related provinces and landscape areas, cooperation enterprises, and UNDP-GEF C-PA 4 Project PMO, and so on (See Annex 2 for the list of participants).</w:t>
      </w:r>
      <w:r>
        <w:rPr>
          <w:rFonts w:ascii="Calibri" w:hAnsi="Calibri" w:eastAsia="等线" w:cs="Calibri"/>
          <w:kern w:val="2"/>
          <w:sz w:val="21"/>
          <w:szCs w:val="21"/>
          <w:lang w:eastAsia="zh-CN"/>
        </w:rPr>
        <w:t xml:space="preserve">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At the Inception Workshop, Mr. Lai Jinyi (Secretary of CPC Committee of Changting County), Mr. Liu Yasheng (Deputy Director General of Fujian Provincial Forestry Bureau), and Dr. Ma Chaode (Assistant Resident Representative of UNDP China) delivered opening speeches. Mr. Ma Guoqing (Director General of ERPMC of NFGA) delivered a keynote speech. The project was officially kicked off under the joint witness of all participants and guests.</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The 1</w:t>
      </w:r>
      <w:r>
        <w:rPr>
          <w:rFonts w:ascii="Calibri" w:hAnsi="Calibri" w:eastAsia="仿宋" w:cs="Calibri"/>
          <w:kern w:val="2"/>
          <w:sz w:val="21"/>
          <w:szCs w:val="21"/>
          <w:vertAlign w:val="superscript"/>
          <w:lang w:eastAsia="zh-CN"/>
        </w:rPr>
        <w:t>st</w:t>
      </w:r>
      <w:r>
        <w:rPr>
          <w:rFonts w:ascii="Calibri" w:hAnsi="Calibri" w:eastAsia="仿宋" w:cs="Calibri"/>
          <w:kern w:val="2"/>
          <w:sz w:val="21"/>
          <w:szCs w:val="21"/>
          <w:lang w:eastAsia="zh-CN"/>
        </w:rPr>
        <w:t xml:space="preserve"> PSC meeting was held following the Inception Workshop. Mr. Fu Changjie (National Project Director) announced the list of PSC members. The UNDP-GEF project management policies and procedures were also introduced by Dr. Ma Chade of UNDP China, and then the project inception report and the TYWP (2023-2024) were discussed and reviewed. Mr. Ma Guoqing (Chairman of PSC, and Director General of ERPMC of NFGA) made closing remarks (See Annex 2 to the meeting agenda. The meeting minutes are recorded as follows:</w:t>
      </w:r>
    </w:p>
    <w:p>
      <w:pPr>
        <w:widowControl w:val="0"/>
        <w:spacing w:before="100" w:beforeAutospacing="1"/>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The Inception Report was passed and the following clarifications and adjustments of the Project Document have been agreed for project implementation:</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Although total budget and work plan are stipulated in the Project Document, adaptive adjustments can be made according to the actual needs within the scope of the UNDP-GEF project during project implementation, which shall be submitted to the PSC and UNDP for approval in advance, before being reflected in the TYWP. The adjustment items listed below of the ProDoc were agreed in principle at the PSC meeting.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 </w:t>
      </w:r>
    </w:p>
    <w:p>
      <w:pPr>
        <w:widowControl w:val="0"/>
        <w:jc w:val="both"/>
        <w:rPr>
          <w:rFonts w:ascii="Calibri" w:hAnsi="Calibri" w:eastAsia="仿宋" w:cs="Calibri"/>
          <w:kern w:val="2"/>
          <w:sz w:val="21"/>
          <w:szCs w:val="21"/>
          <w:lang w:eastAsia="zh-CN"/>
        </w:rPr>
      </w:pPr>
      <w:r>
        <w:rPr>
          <w:rFonts w:ascii="Calibri" w:hAnsi="Calibri" w:eastAsia="仿宋" w:cs="Calibri"/>
          <w:b/>
          <w:bCs/>
          <w:kern w:val="2"/>
          <w:sz w:val="21"/>
          <w:szCs w:val="21"/>
          <w:lang w:eastAsia="zh-CN"/>
        </w:rPr>
        <w:t xml:space="preserve">1.1 </w:t>
      </w:r>
      <w:r>
        <w:rPr>
          <w:rFonts w:ascii="Calibri" w:hAnsi="Calibri" w:eastAsia="Microsoft YaHei UI" w:cs="Calibri"/>
          <w:b/>
          <w:bCs/>
          <w:kern w:val="2"/>
          <w:sz w:val="21"/>
          <w:szCs w:val="21"/>
          <w:lang w:eastAsia="zh-CN"/>
        </w:rPr>
        <w:t xml:space="preserve">The Renaming of the IP. </w:t>
      </w:r>
      <w:r>
        <w:rPr>
          <w:rFonts w:ascii="Calibri" w:hAnsi="Calibri" w:eastAsia="仿宋" w:cs="Calibri"/>
          <w:kern w:val="2"/>
          <w:sz w:val="21"/>
          <w:szCs w:val="21"/>
          <w:lang w:eastAsia="zh-CN"/>
        </w:rPr>
        <w:t xml:space="preserve">(a) National Forestry and Grassland Administration (NFGA) went through an internal institutional reform since August 2021. Two existing agencies including the Natural Forest Protection Programme Office (NFPPO) and the Grain for Green Center under NFGA were amalgamated into a new agency, named the Ecological Rehabilitation Programme Management Center (ERPMC), which was officially established in November 2021. (b) The staffing and function of the NFPPO are fully integrated into the ERPMC to specifically implement the protection and restoration of natural forests in China. The internal control framework relating to operational &amp; management policy and procedures within the organization remains unchanged. </w:t>
      </w:r>
    </w:p>
    <w:p>
      <w:pPr>
        <w:spacing w:after="120" w:afterLines="50"/>
        <w:jc w:val="both"/>
        <w:rPr>
          <w:rFonts w:ascii="Calibri" w:hAnsi="Calibri" w:eastAsia="等线" w:cs="Calibri"/>
          <w:sz w:val="24"/>
          <w:szCs w:val="24"/>
          <w:lang w:eastAsia="zh-CN"/>
        </w:rPr>
      </w:pPr>
      <w:r>
        <w:rPr>
          <w:rFonts w:ascii="Calibri" w:hAnsi="Calibri" w:eastAsia="等线" w:cs="Calibri"/>
          <w:sz w:val="24"/>
          <w:szCs w:val="24"/>
          <w:lang w:eastAsia="zh-CN"/>
        </w:rPr>
        <w:t xml:space="preserve"> </w:t>
      </w:r>
    </w:p>
    <w:p>
      <w:pPr>
        <w:spacing w:before="160" w:after="120" w:afterLines="50" w:line="252" w:lineRule="auto"/>
        <w:contextualSpacing/>
        <w:jc w:val="both"/>
        <w:rPr>
          <w:rFonts w:ascii="Calibri" w:hAnsi="Calibri" w:eastAsia="Microsoft YaHei UI" w:cs="Calibri"/>
          <w:sz w:val="21"/>
          <w:szCs w:val="21"/>
          <w:lang w:eastAsia="zh-CN"/>
        </w:rPr>
      </w:pPr>
      <w:r>
        <w:rPr>
          <w:rFonts w:ascii="Calibri" w:hAnsi="Calibri" w:eastAsia="Microsoft YaHei UI" w:cs="Calibri"/>
          <w:b/>
          <w:bCs/>
          <w:sz w:val="21"/>
          <w:szCs w:val="21"/>
          <w:lang w:eastAsia="zh-CN"/>
        </w:rPr>
        <w:t xml:space="preserve">1.2 Staffing an International Safeguard Consultant. </w:t>
      </w:r>
      <w:r>
        <w:rPr>
          <w:rFonts w:ascii="Calibri" w:hAnsi="Calibri" w:eastAsia="仿宋" w:cs="Calibri"/>
          <w:sz w:val="21"/>
          <w:szCs w:val="21"/>
          <w:lang w:eastAsia="zh-CN"/>
        </w:rPr>
        <w:t xml:space="preserve">As per the advice given by UNDP, considering the indispensable role of Safeguard in SES compliance during project implementation, an International Safeguard Consultant is added for assessment and ESMP development, so as to ensure the risk assessment and management plan can be developed before the implementation of the project activities especially at the project landscapes. The cost of an International Safeguard Consultant is up to $20,000 in 2024 for 30 working days, and the budget has been shifted from part of the budget ($42,000 in total) of the International Sustainable Forest Management Specialist to cover the cost of International Safeguard Consultant. </w:t>
      </w:r>
    </w:p>
    <w:p>
      <w:pPr>
        <w:spacing w:before="160" w:after="120" w:afterLines="50" w:line="252" w:lineRule="auto"/>
        <w:contextualSpacing/>
        <w:rPr>
          <w:rFonts w:ascii="Calibri" w:hAnsi="Calibri" w:eastAsia="Microsoft YaHei UI" w:cs="Calibri"/>
          <w:b/>
          <w:bCs/>
          <w:sz w:val="21"/>
          <w:szCs w:val="21"/>
          <w:lang w:eastAsia="zh-CN"/>
        </w:rPr>
      </w:pPr>
      <w:r>
        <w:rPr>
          <w:rFonts w:ascii="Calibri" w:hAnsi="Calibri" w:eastAsia="Microsoft YaHei UI" w:cs="Calibri"/>
          <w:b/>
          <w:bCs/>
          <w:sz w:val="21"/>
          <w:szCs w:val="21"/>
          <w:lang w:eastAsia="zh-CN"/>
        </w:rPr>
        <w:t xml:space="preserve"> </w:t>
      </w:r>
    </w:p>
    <w:p>
      <w:pPr>
        <w:spacing w:before="160" w:after="120" w:afterLines="50" w:line="252" w:lineRule="auto"/>
        <w:contextualSpacing/>
        <w:jc w:val="both"/>
        <w:rPr>
          <w:rFonts w:ascii="Calibri" w:hAnsi="Calibri" w:eastAsia="仿宋" w:cs="Calibri"/>
          <w:sz w:val="21"/>
          <w:szCs w:val="21"/>
          <w:lang w:eastAsia="zh-CN"/>
        </w:rPr>
      </w:pPr>
      <w:r>
        <w:rPr>
          <w:rFonts w:ascii="Calibri" w:hAnsi="Calibri" w:eastAsia="Microsoft YaHei UI" w:cs="Calibri"/>
          <w:b/>
          <w:bCs/>
          <w:sz w:val="21"/>
          <w:szCs w:val="21"/>
          <w:lang w:eastAsia="zh-CN"/>
        </w:rPr>
        <w:t xml:space="preserve">1.3 Changes in the demonstration areas </w:t>
      </w:r>
      <w:r>
        <w:rPr>
          <w:rFonts w:ascii="Calibri" w:hAnsi="Calibri" w:eastAsia="仿宋" w:cs="Calibri"/>
          <w:sz w:val="21"/>
          <w:szCs w:val="21"/>
          <w:lang w:eastAsia="zh-CN"/>
        </w:rPr>
        <w:t xml:space="preserve">Based on current situation of natural forest and its land use for natural forest, after scientific analysis and comprehensive evaluation, part of the FLR demonstration area from Taoping forest farm has been allocated to Shanmen forest farm in Xiaolongshan landscape, as shown in the table below. Thus, both Taoping forest farm and Shanmen forest farm will jointly complete the FLR demonstration tasks. The total amount of FLR demonstration area for the project remains unchanged. </w:t>
      </w:r>
    </w:p>
    <w:p>
      <w:pPr>
        <w:widowControl w:val="0"/>
        <w:jc w:val="center"/>
        <w:rPr>
          <w:rFonts w:ascii="Calibri" w:hAnsi="Calibri" w:eastAsia="等线" w:cs="Calibri"/>
          <w:kern w:val="2"/>
          <w:sz w:val="21"/>
          <w:szCs w:val="21"/>
          <w:lang w:eastAsia="zh-CN"/>
        </w:rPr>
      </w:pPr>
      <w:r>
        <w:rPr>
          <w:rFonts w:ascii="Calibri" w:hAnsi="Calibri" w:eastAsia="等线" w:cs="Calibri"/>
          <w:b/>
          <w:bCs/>
          <w:kern w:val="2"/>
          <w:sz w:val="21"/>
          <w:szCs w:val="21"/>
          <w:lang w:eastAsia="zh-CN"/>
        </w:rPr>
        <w:t>The FLR demonstration area breakdown table in Xiaolongshan, Gansu Province</w:t>
      </w:r>
      <w:r>
        <w:rPr>
          <w:rFonts w:ascii="Calibri" w:hAnsi="Calibri" w:eastAsia="等线" w:cs="Calibri"/>
          <w:kern w:val="2"/>
          <w:sz w:val="21"/>
          <w:szCs w:val="21"/>
          <w:lang w:eastAsia="zh-CN"/>
        </w:rPr>
        <w:t xml:space="preserve"> </w:t>
      </w:r>
    </w:p>
    <w:p>
      <w:pPr>
        <w:widowControl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 xml:space="preserve">                                                        (Unit: hectare)</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8"/>
        <w:gridCol w:w="1716"/>
        <w:gridCol w:w="1339"/>
        <w:gridCol w:w="1579"/>
        <w:gridCol w:w="1446"/>
        <w:gridCol w:w="1596"/>
        <w:gridCol w:w="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208" w:type="dxa"/>
            <w:tcBorders>
              <w:top w:val="single" w:color="auto" w:sz="4" w:space="0"/>
              <w:left w:val="single" w:color="auto" w:sz="4" w:space="0"/>
              <w:bottom w:val="single" w:color="auto" w:sz="4" w:space="0"/>
              <w:right w:val="single" w:color="auto" w:sz="4" w:space="0"/>
            </w:tcBorders>
          </w:tcPr>
          <w:p>
            <w:pPr>
              <w:widowControl w:val="0"/>
              <w:snapToGrid w:val="0"/>
              <w:jc w:val="both"/>
              <w:rPr>
                <w:rFonts w:ascii="Calibri" w:hAnsi="Calibri" w:eastAsia="等线" w:cs="Calibri"/>
                <w:kern w:val="2"/>
                <w:sz w:val="21"/>
                <w:szCs w:val="21"/>
                <w:lang w:eastAsia="zh-CN"/>
              </w:rPr>
            </w:pPr>
          </w:p>
        </w:tc>
        <w:tc>
          <w:tcPr>
            <w:tcW w:w="1716" w:type="dxa"/>
            <w:tcBorders>
              <w:top w:val="single" w:color="auto" w:sz="4" w:space="0"/>
              <w:left w:val="nil"/>
              <w:bottom w:val="single" w:color="auto" w:sz="4" w:space="0"/>
              <w:right w:val="single" w:color="auto" w:sz="4" w:space="0"/>
            </w:tcBorders>
          </w:tcPr>
          <w:p>
            <w:pPr>
              <w:widowControl w:val="0"/>
              <w:snapToGrid w:val="0"/>
              <w:rPr>
                <w:rFonts w:ascii="Calibri" w:hAnsi="Calibri" w:eastAsia="Times New Roman" w:cs="Calibri"/>
                <w:kern w:val="2"/>
                <w:sz w:val="21"/>
                <w:szCs w:val="21"/>
                <w:lang w:eastAsia="zh-CN"/>
              </w:rPr>
            </w:pPr>
            <w:r>
              <w:rPr>
                <w:rFonts w:ascii="Calibri" w:hAnsi="Calibri" w:eastAsia="宋体" w:cs="Calibri"/>
                <w:bCs/>
                <w:kern w:val="2"/>
                <w:sz w:val="21"/>
                <w:szCs w:val="21"/>
                <w:lang w:eastAsia="zh-CN"/>
              </w:rPr>
              <w:t>Monoculture upgraded to mixed forest</w:t>
            </w:r>
          </w:p>
        </w:tc>
        <w:tc>
          <w:tcPr>
            <w:tcW w:w="1339" w:type="dxa"/>
            <w:tcBorders>
              <w:top w:val="single" w:color="auto" w:sz="4" w:space="0"/>
              <w:left w:val="nil"/>
              <w:bottom w:val="single" w:color="auto" w:sz="4" w:space="0"/>
              <w:right w:val="single" w:color="auto" w:sz="4" w:space="0"/>
            </w:tcBorders>
          </w:tcPr>
          <w:p>
            <w:pPr>
              <w:widowControl w:val="0"/>
              <w:snapToGrid w:val="0"/>
              <w:rPr>
                <w:rFonts w:ascii="Calibri" w:hAnsi="Calibri" w:eastAsia="宋体" w:cs="Calibri"/>
                <w:kern w:val="2"/>
                <w:sz w:val="21"/>
                <w:szCs w:val="21"/>
                <w:lang w:eastAsia="zh-CN"/>
              </w:rPr>
            </w:pPr>
            <w:r>
              <w:rPr>
                <w:rFonts w:ascii="Calibri" w:hAnsi="Calibri" w:eastAsia="宋体" w:cs="Calibri"/>
                <w:bCs/>
                <w:kern w:val="2"/>
                <w:sz w:val="21"/>
                <w:szCs w:val="21"/>
                <w:lang w:eastAsia="zh-CN"/>
              </w:rPr>
              <w:t>Planting of mixed forest on bare land</w:t>
            </w:r>
          </w:p>
        </w:tc>
        <w:tc>
          <w:tcPr>
            <w:tcW w:w="1579" w:type="dxa"/>
            <w:tcBorders>
              <w:top w:val="single" w:color="auto" w:sz="4" w:space="0"/>
              <w:left w:val="nil"/>
              <w:bottom w:val="single" w:color="auto" w:sz="4" w:space="0"/>
              <w:right w:val="single" w:color="auto" w:sz="4" w:space="0"/>
            </w:tcBorders>
          </w:tcPr>
          <w:p>
            <w:pPr>
              <w:widowControl w:val="0"/>
              <w:snapToGrid w:val="0"/>
              <w:rPr>
                <w:rFonts w:ascii="Calibri" w:hAnsi="Calibri" w:eastAsia="宋体" w:cs="Calibri"/>
                <w:kern w:val="2"/>
                <w:sz w:val="21"/>
                <w:szCs w:val="21"/>
                <w:lang w:eastAsia="zh-CN"/>
              </w:rPr>
            </w:pPr>
            <w:r>
              <w:rPr>
                <w:rFonts w:ascii="Calibri" w:hAnsi="Calibri" w:eastAsia="宋体" w:cs="Calibri"/>
                <w:bCs/>
                <w:kern w:val="2"/>
                <w:sz w:val="21"/>
                <w:szCs w:val="21"/>
                <w:lang w:eastAsia="zh-CN"/>
              </w:rPr>
              <w:t>Managed natural regeneration</w:t>
            </w:r>
          </w:p>
        </w:tc>
        <w:tc>
          <w:tcPr>
            <w:tcW w:w="1446" w:type="dxa"/>
            <w:tcBorders>
              <w:top w:val="single" w:color="auto" w:sz="4" w:space="0"/>
              <w:left w:val="nil"/>
              <w:bottom w:val="single" w:color="auto" w:sz="4" w:space="0"/>
              <w:right w:val="single" w:color="auto" w:sz="4" w:space="0"/>
            </w:tcBorders>
          </w:tcPr>
          <w:p>
            <w:pPr>
              <w:widowControl w:val="0"/>
              <w:snapToGrid w:val="0"/>
              <w:rPr>
                <w:rFonts w:ascii="Calibri" w:hAnsi="Calibri" w:eastAsia="宋体" w:cs="Calibri"/>
                <w:bCs/>
                <w:kern w:val="2"/>
                <w:sz w:val="21"/>
                <w:szCs w:val="21"/>
                <w:lang w:eastAsia="zh-CN"/>
              </w:rPr>
            </w:pPr>
            <w:r>
              <w:rPr>
                <w:rFonts w:ascii="Calibri" w:hAnsi="Calibri" w:eastAsia="宋体" w:cs="Calibri"/>
                <w:bCs/>
                <w:kern w:val="2"/>
                <w:sz w:val="21"/>
                <w:szCs w:val="21"/>
                <w:lang w:eastAsia="zh-CN"/>
              </w:rPr>
              <w:t>Corridors between natural forest areas</w:t>
            </w:r>
          </w:p>
        </w:tc>
        <w:tc>
          <w:tcPr>
            <w:tcW w:w="1596" w:type="dxa"/>
            <w:tcBorders>
              <w:top w:val="single" w:color="auto" w:sz="4" w:space="0"/>
              <w:left w:val="nil"/>
              <w:bottom w:val="single" w:color="auto" w:sz="4" w:space="0"/>
              <w:right w:val="single" w:color="auto" w:sz="4" w:space="0"/>
            </w:tcBorders>
          </w:tcPr>
          <w:p>
            <w:pPr>
              <w:widowControl w:val="0"/>
              <w:snapToGrid w:val="0"/>
              <w:rPr>
                <w:rFonts w:ascii="Calibri" w:hAnsi="Calibri" w:eastAsia="宋体" w:cs="Calibri"/>
                <w:bCs/>
                <w:kern w:val="2"/>
                <w:sz w:val="21"/>
                <w:szCs w:val="21"/>
                <w:lang w:eastAsia="zh-CN"/>
              </w:rPr>
            </w:pPr>
            <w:r>
              <w:rPr>
                <w:rFonts w:ascii="Calibri" w:hAnsi="Calibri" w:eastAsia="宋体" w:cs="Calibri"/>
                <w:bCs/>
                <w:kern w:val="2"/>
                <w:sz w:val="21"/>
                <w:szCs w:val="21"/>
                <w:lang w:eastAsia="zh-CN"/>
              </w:rPr>
              <w:t>Restoration of degraded natural forest</w:t>
            </w:r>
          </w:p>
        </w:tc>
        <w:tc>
          <w:tcPr>
            <w:tcW w:w="749" w:type="dxa"/>
            <w:tcBorders>
              <w:top w:val="single" w:color="auto" w:sz="4" w:space="0"/>
              <w:left w:val="nil"/>
              <w:bottom w:val="single" w:color="auto" w:sz="4" w:space="0"/>
              <w:right w:val="single" w:color="auto" w:sz="4" w:space="0"/>
            </w:tcBorders>
          </w:tcPr>
          <w:p>
            <w:pPr>
              <w:widowControl w:val="0"/>
              <w:snapToGrid w:val="0"/>
              <w:rPr>
                <w:rFonts w:ascii="Calibri" w:hAnsi="Calibri" w:eastAsia="等线" w:cs="Calibri"/>
                <w:b/>
                <w:bCs/>
                <w:kern w:val="2"/>
                <w:sz w:val="21"/>
                <w:szCs w:val="21"/>
                <w:lang w:eastAsia="zh-CN"/>
              </w:rPr>
            </w:pPr>
            <w:r>
              <w:rPr>
                <w:rFonts w:ascii="Calibri" w:hAnsi="Calibri" w:eastAsia="等线" w:cs="Calibri"/>
                <w:b/>
                <w:bCs/>
                <w:kern w:val="2"/>
                <w:sz w:val="21"/>
                <w:szCs w:val="21"/>
                <w:lang w:eastAsia="zh-CN"/>
              </w:rPr>
              <w:t>Total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dxa"/>
            <w:tcBorders>
              <w:top w:val="single" w:color="auto" w:sz="4" w:space="0"/>
              <w:left w:val="single" w:color="auto" w:sz="4" w:space="0"/>
              <w:bottom w:val="single" w:color="auto" w:sz="4" w:space="0"/>
              <w:right w:val="single" w:color="auto" w:sz="4" w:space="0"/>
            </w:tcBorders>
          </w:tcPr>
          <w:p>
            <w:pPr>
              <w:widowControl w:val="0"/>
              <w:snapToGrid w:val="0"/>
              <w:jc w:val="both"/>
              <w:rPr>
                <w:rFonts w:ascii="Calibri" w:hAnsi="Calibri" w:eastAsia="Times New Roman" w:cs="Calibri"/>
                <w:bCs/>
                <w:kern w:val="2"/>
                <w:sz w:val="21"/>
                <w:szCs w:val="21"/>
                <w:lang w:eastAsia="zh-CN"/>
              </w:rPr>
            </w:pPr>
            <w:r>
              <w:rPr>
                <w:rFonts w:ascii="Calibri" w:hAnsi="Calibri" w:eastAsia="宋体" w:cs="Calibri"/>
                <w:bCs/>
                <w:kern w:val="2"/>
                <w:sz w:val="21"/>
                <w:szCs w:val="21"/>
                <w:lang w:eastAsia="zh-CN"/>
              </w:rPr>
              <w:t>Taoping Forest Farm</w:t>
            </w:r>
          </w:p>
        </w:tc>
        <w:tc>
          <w:tcPr>
            <w:tcW w:w="171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2700</w:t>
            </w:r>
          </w:p>
        </w:tc>
        <w:tc>
          <w:tcPr>
            <w:tcW w:w="133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300</w:t>
            </w:r>
          </w:p>
        </w:tc>
        <w:tc>
          <w:tcPr>
            <w:tcW w:w="157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7500</w:t>
            </w:r>
          </w:p>
        </w:tc>
        <w:tc>
          <w:tcPr>
            <w:tcW w:w="144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200</w:t>
            </w:r>
          </w:p>
        </w:tc>
        <w:tc>
          <w:tcPr>
            <w:tcW w:w="159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4500</w:t>
            </w:r>
          </w:p>
        </w:tc>
        <w:tc>
          <w:tcPr>
            <w:tcW w:w="74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15200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dxa"/>
            <w:tcBorders>
              <w:top w:val="single" w:color="auto" w:sz="4" w:space="0"/>
              <w:left w:val="single" w:color="auto" w:sz="4" w:space="0"/>
              <w:bottom w:val="single" w:color="auto" w:sz="4" w:space="0"/>
              <w:right w:val="single" w:color="auto" w:sz="4" w:space="0"/>
            </w:tcBorders>
          </w:tcPr>
          <w:p>
            <w:pPr>
              <w:widowControl w:val="0"/>
              <w:snapToGrid w:val="0"/>
              <w:jc w:val="both"/>
              <w:rPr>
                <w:rFonts w:ascii="Calibri" w:hAnsi="Calibri" w:eastAsia="Times New Roman" w:cs="Calibri"/>
                <w:bCs/>
                <w:kern w:val="2"/>
                <w:sz w:val="21"/>
                <w:szCs w:val="21"/>
                <w:lang w:eastAsia="zh-CN"/>
              </w:rPr>
            </w:pPr>
            <w:r>
              <w:rPr>
                <w:rFonts w:ascii="Calibri" w:hAnsi="Calibri" w:eastAsia="宋体" w:cs="Calibri"/>
                <w:bCs/>
                <w:kern w:val="2"/>
                <w:sz w:val="21"/>
                <w:szCs w:val="21"/>
                <w:lang w:eastAsia="zh-CN"/>
              </w:rPr>
              <w:t>Shanmen Forest Farm</w:t>
            </w:r>
          </w:p>
        </w:tc>
        <w:tc>
          <w:tcPr>
            <w:tcW w:w="171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1000</w:t>
            </w:r>
          </w:p>
        </w:tc>
        <w:tc>
          <w:tcPr>
            <w:tcW w:w="133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p>
        </w:tc>
        <w:tc>
          <w:tcPr>
            <w:tcW w:w="157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1200</w:t>
            </w:r>
          </w:p>
        </w:tc>
        <w:tc>
          <w:tcPr>
            <w:tcW w:w="144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p>
        </w:tc>
        <w:tc>
          <w:tcPr>
            <w:tcW w:w="159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13500</w:t>
            </w:r>
          </w:p>
        </w:tc>
        <w:tc>
          <w:tcPr>
            <w:tcW w:w="74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15700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8" w:type="dxa"/>
            <w:tcBorders>
              <w:top w:val="single" w:color="auto" w:sz="4" w:space="0"/>
              <w:left w:val="single" w:color="auto" w:sz="4" w:space="0"/>
              <w:bottom w:val="single" w:color="auto" w:sz="4" w:space="0"/>
              <w:right w:val="single" w:color="auto" w:sz="4" w:space="0"/>
            </w:tcBorders>
          </w:tcPr>
          <w:p>
            <w:pPr>
              <w:widowControl w:val="0"/>
              <w:snapToGrid w:val="0"/>
              <w:jc w:val="both"/>
              <w:rPr>
                <w:rFonts w:ascii="Calibri" w:hAnsi="Calibri" w:eastAsia="Times New Roman" w:cs="Calibri"/>
                <w:bCs/>
                <w:kern w:val="2"/>
                <w:sz w:val="21"/>
                <w:szCs w:val="21"/>
                <w:lang w:eastAsia="zh-CN"/>
              </w:rPr>
            </w:pPr>
            <w:r>
              <w:rPr>
                <w:rFonts w:ascii="Calibri" w:hAnsi="Calibri" w:eastAsia="宋体" w:cs="Calibri"/>
                <w:bCs/>
                <w:kern w:val="2"/>
                <w:sz w:val="21"/>
                <w:szCs w:val="21"/>
                <w:lang w:eastAsia="zh-CN"/>
              </w:rPr>
              <w:t>Total</w:t>
            </w:r>
          </w:p>
        </w:tc>
        <w:tc>
          <w:tcPr>
            <w:tcW w:w="171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3700</w:t>
            </w:r>
          </w:p>
        </w:tc>
        <w:tc>
          <w:tcPr>
            <w:tcW w:w="133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300</w:t>
            </w:r>
          </w:p>
        </w:tc>
        <w:tc>
          <w:tcPr>
            <w:tcW w:w="157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8700</w:t>
            </w:r>
          </w:p>
        </w:tc>
        <w:tc>
          <w:tcPr>
            <w:tcW w:w="144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200</w:t>
            </w:r>
          </w:p>
        </w:tc>
        <w:tc>
          <w:tcPr>
            <w:tcW w:w="1596"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kern w:val="2"/>
                <w:sz w:val="21"/>
                <w:szCs w:val="21"/>
                <w:lang w:eastAsia="zh-CN"/>
              </w:rPr>
            </w:pPr>
            <w:r>
              <w:rPr>
                <w:rFonts w:ascii="Calibri" w:hAnsi="Calibri" w:eastAsia="等线" w:cs="Calibri"/>
                <w:kern w:val="2"/>
                <w:sz w:val="21"/>
                <w:szCs w:val="21"/>
                <w:lang w:eastAsia="zh-CN"/>
              </w:rPr>
              <w:t>18000</w:t>
            </w:r>
          </w:p>
        </w:tc>
        <w:tc>
          <w:tcPr>
            <w:tcW w:w="749" w:type="dxa"/>
            <w:tcBorders>
              <w:top w:val="single" w:color="auto" w:sz="4" w:space="0"/>
              <w:left w:val="nil"/>
              <w:bottom w:val="single" w:color="auto" w:sz="4" w:space="0"/>
              <w:right w:val="single" w:color="auto" w:sz="4" w:space="0"/>
            </w:tcBorders>
          </w:tcPr>
          <w:p>
            <w:pPr>
              <w:widowControl w:val="0"/>
              <w:snapToGrid w:val="0"/>
              <w:jc w:val="center"/>
              <w:rPr>
                <w:rFonts w:ascii="Calibri" w:hAnsi="Calibri" w:eastAsia="等线" w:cs="Calibri"/>
                <w:b/>
                <w:bCs/>
                <w:kern w:val="2"/>
                <w:sz w:val="21"/>
                <w:szCs w:val="21"/>
                <w:lang w:eastAsia="zh-CN"/>
              </w:rPr>
            </w:pPr>
            <w:r>
              <w:rPr>
                <w:rFonts w:ascii="Calibri" w:hAnsi="Calibri" w:eastAsia="等线" w:cs="Calibri"/>
                <w:b/>
                <w:bCs/>
                <w:kern w:val="2"/>
                <w:sz w:val="21"/>
                <w:szCs w:val="21"/>
                <w:lang w:eastAsia="zh-CN"/>
              </w:rPr>
              <w:t>30900</w:t>
            </w:r>
          </w:p>
        </w:tc>
      </w:tr>
    </w:tbl>
    <w:p>
      <w:pPr>
        <w:widowControl w:val="0"/>
        <w:snapToGrid w:val="0"/>
        <w:spacing w:after="120" w:afterLines="50"/>
        <w:jc w:val="both"/>
        <w:rPr>
          <w:rFonts w:ascii="Calibri" w:hAnsi="Calibri" w:eastAsia="Microsoft YaHei UI" w:cs="Calibri"/>
          <w:kern w:val="2"/>
          <w:sz w:val="21"/>
          <w:szCs w:val="21"/>
          <w:lang w:eastAsia="zh-CN"/>
        </w:rPr>
      </w:pPr>
      <w:r>
        <w:rPr>
          <w:rFonts w:ascii="Calibri" w:hAnsi="Calibri" w:eastAsia="Microsoft YaHei UI" w:cs="Calibri"/>
          <w:kern w:val="2"/>
          <w:sz w:val="21"/>
          <w:szCs w:val="21"/>
          <w:lang w:eastAsia="zh-CN"/>
        </w:rPr>
        <w:t xml:space="preserve"> </w:t>
      </w:r>
    </w:p>
    <w:p>
      <w:pPr>
        <w:widowControl w:val="0"/>
        <w:spacing w:before="160"/>
        <w:jc w:val="both"/>
        <w:rPr>
          <w:rFonts w:ascii="Calibri" w:hAnsi="Calibri" w:eastAsia="仿宋" w:cs="Calibri"/>
          <w:b/>
          <w:bCs/>
          <w:kern w:val="2"/>
          <w:sz w:val="21"/>
          <w:szCs w:val="21"/>
          <w:lang w:eastAsia="zh-CN"/>
        </w:rPr>
      </w:pPr>
      <w:r>
        <w:rPr>
          <w:rFonts w:ascii="Calibri" w:hAnsi="Calibri" w:eastAsia="仿宋" w:cs="Calibri"/>
          <w:b/>
          <w:bCs/>
          <w:kern w:val="2"/>
          <w:sz w:val="21"/>
          <w:szCs w:val="21"/>
          <w:lang w:eastAsia="zh-CN"/>
        </w:rPr>
        <w:t xml:space="preserve">2. The PSC reviewed and adopted the TYWP (2023-2024).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The PSC reviewed and adopted the TYWP (2023-2024), and required the National PMO to move forward with the project orderly and strictly in accordance with UNDP-GEF international project management measures and China central financial funds management regulations.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 </w:t>
      </w:r>
    </w:p>
    <w:p>
      <w:pPr>
        <w:widowControl w:val="0"/>
        <w:spacing w:before="160"/>
        <w:jc w:val="both"/>
        <w:rPr>
          <w:rFonts w:ascii="Calibri" w:hAnsi="Calibri" w:eastAsia="仿宋" w:cs="Calibri"/>
          <w:b/>
          <w:bCs/>
          <w:kern w:val="2"/>
          <w:sz w:val="21"/>
          <w:szCs w:val="21"/>
          <w:lang w:eastAsia="zh-CN"/>
        </w:rPr>
      </w:pPr>
      <w:r>
        <w:rPr>
          <w:rFonts w:ascii="Calibri" w:hAnsi="Calibri" w:eastAsia="仿宋" w:cs="Calibri"/>
          <w:b/>
          <w:bCs/>
          <w:kern w:val="2"/>
          <w:sz w:val="21"/>
          <w:szCs w:val="21"/>
          <w:lang w:eastAsia="zh-CN"/>
        </w:rPr>
        <w:t>3. The project risks and challenges were reviewed.</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The overall risk classification of the project was moderate based on the screening of the Social and Environmental Screening Procedures (SESP) during the PPG. Up to now, the project has no major adjustment and change, and the identified risks and impacts have not been changed. The National PMO and local PMOs will strictly comply with the relevant environmental and social risk management requirements of UNDP, duly assess the potential environmental and social impact, and develop environmental and social risk management plan before conducting activities which might trigger project risks during the implementation of the project. </w:t>
      </w:r>
    </w:p>
    <w:p>
      <w:pPr>
        <w:widowControl w:val="0"/>
        <w:jc w:val="both"/>
        <w:rPr>
          <w:rFonts w:ascii="Calibri" w:hAnsi="Calibri" w:eastAsia="仿宋" w:cs="Calibri"/>
          <w:color w:val="00B050"/>
          <w:kern w:val="2"/>
          <w:sz w:val="21"/>
          <w:szCs w:val="21"/>
          <w:lang w:eastAsia="zh-CN"/>
        </w:rPr>
      </w:pPr>
      <w:r>
        <w:rPr>
          <w:rFonts w:ascii="Calibri" w:hAnsi="Calibri" w:eastAsia="仿宋" w:cs="Calibri"/>
          <w:color w:val="00B050"/>
          <w:kern w:val="2"/>
          <w:sz w:val="21"/>
          <w:szCs w:val="21"/>
          <w:lang w:eastAsia="zh-CN"/>
        </w:rPr>
        <w:t xml:space="preserve"> </w:t>
      </w:r>
    </w:p>
    <w:p>
      <w:pPr>
        <w:widowControl w:val="0"/>
        <w:jc w:val="both"/>
        <w:rPr>
          <w:rFonts w:ascii="Calibri" w:hAnsi="Calibri" w:eastAsia="仿宋" w:cs="Calibri"/>
          <w:color w:val="000000"/>
          <w:kern w:val="2"/>
          <w:sz w:val="21"/>
          <w:szCs w:val="21"/>
          <w:lang w:eastAsia="zh-CN"/>
        </w:rPr>
      </w:pPr>
      <w:r>
        <w:rPr>
          <w:rFonts w:ascii="Calibri" w:hAnsi="Calibri" w:eastAsia="仿宋" w:cs="Calibri"/>
          <w:color w:val="000000"/>
          <w:kern w:val="2"/>
          <w:sz w:val="21"/>
          <w:szCs w:val="21"/>
          <w:lang w:eastAsia="zh-CN"/>
        </w:rPr>
        <w:t xml:space="preserve">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Signatures on behalf of the PSC </w:t>
      </w:r>
    </w:p>
    <w:p>
      <w:pPr>
        <w:widowControl w:val="0"/>
        <w:jc w:val="both"/>
        <w:rPr>
          <w:rFonts w:ascii="Calibri" w:hAnsi="Calibri" w:eastAsia="等线" w:cs="Calibri"/>
          <w:kern w:val="2"/>
          <w:sz w:val="21"/>
          <w:szCs w:val="21"/>
          <w:lang w:eastAsia="zh-CN"/>
        </w:rPr>
      </w:pPr>
      <w:r>
        <w:rPr>
          <w:rFonts w:ascii="Calibri" w:hAnsi="Calibri" w:eastAsia="等线" w:cs="Calibri"/>
          <w:kern w:val="2"/>
          <w:sz w:val="21"/>
          <w:szCs w:val="21"/>
          <w:lang w:eastAsia="zh-CN"/>
        </w:rPr>
        <w:t xml:space="preserve"> </w:t>
      </w:r>
    </w:p>
    <w:p>
      <w:pPr>
        <w:widowControl w:val="0"/>
        <w:jc w:val="both"/>
        <w:rPr>
          <w:rFonts w:ascii="Calibri" w:hAnsi="Calibri" w:eastAsia="等线" w:cs="Calibri"/>
          <w:kern w:val="2"/>
          <w:sz w:val="21"/>
          <w:szCs w:val="21"/>
          <w:lang w:eastAsia="zh-CN"/>
        </w:rPr>
      </w:pPr>
      <w:r>
        <w:rPr>
          <w:rFonts w:ascii="Calibri" w:hAnsi="Calibri" w:eastAsia="等线" w:cs="Calibri"/>
          <w:kern w:val="2"/>
          <w:sz w:val="21"/>
          <w:szCs w:val="21"/>
          <w:lang w:eastAsia="zh-CN"/>
        </w:rPr>
        <w:t xml:space="preserve"> </w:t>
      </w:r>
      <w:r>
        <w:rPr>
          <w:rFonts w:ascii="等线" w:hAnsi="等线" w:eastAsia="等线" w:cs="Times New Roman"/>
          <w:kern w:val="2"/>
          <w:sz w:val="21"/>
          <w:szCs w:val="21"/>
          <w:lang w:eastAsia="zh-CN"/>
        </w:rPr>
        <w:drawing>
          <wp:inline distT="0" distB="0" distL="0" distR="0">
            <wp:extent cx="1885315" cy="457200"/>
            <wp:effectExtent l="0" t="0" r="635" b="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885315" cy="457200"/>
                    </a:xfrm>
                    <a:prstGeom prst="rect">
                      <a:avLst/>
                    </a:prstGeom>
                    <a:noFill/>
                    <a:ln>
                      <a:noFill/>
                    </a:ln>
                  </pic:spPr>
                </pic:pic>
              </a:graphicData>
            </a:graphic>
          </wp:inline>
        </w:drawing>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Ma Guoqing, Chairman of the PSC</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 xml:space="preserve">Director General of Ecological Rehabilitation Programme Management Center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National Forestry and Grassland Administration, P.R.C</w:t>
      </w:r>
    </w:p>
    <w:p>
      <w:pPr>
        <w:widowControl w:val="0"/>
        <w:jc w:val="both"/>
        <w:rPr>
          <w:rFonts w:ascii="Calibri" w:hAnsi="Calibri" w:eastAsia="等线" w:cs="Calibri"/>
          <w:kern w:val="2"/>
          <w:sz w:val="21"/>
          <w:szCs w:val="21"/>
          <w:lang w:eastAsia="zh-CN"/>
        </w:rPr>
      </w:pPr>
      <w:r>
        <w:rPr>
          <w:rFonts w:ascii="Calibri" w:hAnsi="Calibri" w:eastAsia="等线" w:cs="Calibri"/>
          <w:kern w:val="2"/>
          <w:sz w:val="21"/>
          <w:szCs w:val="21"/>
          <w:lang w:eastAsia="zh-CN"/>
        </w:rPr>
        <w:t xml:space="preserve"> </w:t>
      </w:r>
    </w:p>
    <w:p>
      <w:pPr>
        <w:widowControl w:val="0"/>
        <w:jc w:val="both"/>
        <w:rPr>
          <w:rFonts w:ascii="Calibri" w:hAnsi="Calibri" w:eastAsia="等线" w:cs="Calibri"/>
          <w:kern w:val="2"/>
          <w:sz w:val="21"/>
          <w:szCs w:val="21"/>
          <w:lang w:eastAsia="zh-CN"/>
        </w:rPr>
      </w:pPr>
      <w:r>
        <w:rPr>
          <w:rFonts w:ascii="Calibri" w:hAnsi="Calibri" w:eastAsia="等线" w:cs="Calibri"/>
          <w:kern w:val="2"/>
          <w:sz w:val="21"/>
          <w:szCs w:val="21"/>
          <w:lang w:eastAsia="zh-CN"/>
        </w:rPr>
        <w:t xml:space="preserve"> </w:t>
      </w:r>
      <w:r>
        <w:rPr>
          <w:rFonts w:ascii="等线" w:hAnsi="等线" w:eastAsia="等线" w:cs="Times New Roman"/>
          <w:kern w:val="2"/>
          <w:sz w:val="21"/>
          <w:szCs w:val="21"/>
          <w:lang w:eastAsia="zh-CN"/>
        </w:rPr>
        <w:drawing>
          <wp:inline distT="0" distB="0" distL="0" distR="0">
            <wp:extent cx="1012190" cy="400685"/>
            <wp:effectExtent l="0" t="0" r="0" b="0"/>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012190" cy="400685"/>
                    </a:xfrm>
                    <a:prstGeom prst="rect">
                      <a:avLst/>
                    </a:prstGeom>
                    <a:noFill/>
                    <a:ln>
                      <a:noFill/>
                    </a:ln>
                  </pic:spPr>
                </pic:pic>
              </a:graphicData>
            </a:graphic>
          </wp:inline>
        </w:drawing>
      </w:r>
      <w:r>
        <w:rPr>
          <w:rFonts w:ascii="等线" w:hAnsi="等线" w:eastAsia="等线" w:cs="Times New Roman"/>
          <w:kern w:val="2"/>
          <w:sz w:val="21"/>
          <w:szCs w:val="21"/>
          <w:lang w:eastAsia="zh-CN"/>
        </w:rPr>
        <w:drawing>
          <wp:inline distT="0" distB="0" distL="0" distR="0">
            <wp:extent cx="688340" cy="246380"/>
            <wp:effectExtent l="0" t="0" r="0" b="1270"/>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88340" cy="246380"/>
                    </a:xfrm>
                    <a:prstGeom prst="rect">
                      <a:avLst/>
                    </a:prstGeom>
                    <a:noFill/>
                    <a:ln>
                      <a:noFill/>
                    </a:ln>
                  </pic:spPr>
                </pic:pic>
              </a:graphicData>
            </a:graphic>
          </wp:inline>
        </w:drawing>
      </w:r>
    </w:p>
    <w:p>
      <w:pPr>
        <w:widowControl w:val="0"/>
        <w:spacing w:line="324" w:lineRule="auto"/>
        <w:rPr>
          <w:rFonts w:ascii="Calibri" w:hAnsi="Calibri" w:eastAsia="仿宋" w:cs="Calibri"/>
          <w:sz w:val="21"/>
          <w:szCs w:val="21"/>
          <w:lang w:eastAsia="zh-CN"/>
        </w:rPr>
      </w:pPr>
      <w:r>
        <w:rPr>
          <w:rFonts w:ascii="Calibri" w:hAnsi="Calibri" w:eastAsia="仿宋" w:cs="Calibri"/>
          <w:sz w:val="21"/>
          <w:szCs w:val="21"/>
          <w:lang w:eastAsia="zh-CN"/>
        </w:rPr>
        <w:t xml:space="preserve">Ma Chaode, Deputy Chairman of the PSC </w:t>
      </w:r>
    </w:p>
    <w:p>
      <w:pPr>
        <w:widowControl w:val="0"/>
        <w:jc w:val="both"/>
        <w:rPr>
          <w:rFonts w:ascii="Calibri" w:hAnsi="Calibri" w:eastAsia="仿宋" w:cs="Calibri"/>
          <w:kern w:val="2"/>
          <w:sz w:val="21"/>
          <w:szCs w:val="21"/>
          <w:lang w:eastAsia="zh-CN"/>
        </w:rPr>
      </w:pPr>
      <w:r>
        <w:rPr>
          <w:rFonts w:ascii="Calibri" w:hAnsi="Calibri" w:eastAsia="仿宋" w:cs="Calibri"/>
          <w:kern w:val="2"/>
          <w:sz w:val="21"/>
          <w:szCs w:val="21"/>
          <w:lang w:eastAsia="zh-CN"/>
        </w:rPr>
        <w:t>Assistant Resident Representative of UNDP China</w:t>
      </w:r>
    </w:p>
    <w:p>
      <w:pPr>
        <w:pStyle w:val="11"/>
        <w:rPr>
          <w:lang w:eastAsia="zh-CN"/>
        </w:rPr>
      </w:pPr>
    </w:p>
    <w:p>
      <w:pPr>
        <w:pStyle w:val="11"/>
        <w:rPr>
          <w:lang w:eastAsia="zh-CN"/>
        </w:rPr>
      </w:pPr>
    </w:p>
    <w:p>
      <w:pPr>
        <w:pStyle w:val="11"/>
        <w:rPr>
          <w:lang w:eastAsia="zh-CN"/>
        </w:rPr>
      </w:pPr>
    </w:p>
    <w:p>
      <w:pPr>
        <w:rPr>
          <w:lang w:eastAsia="zh-CN"/>
        </w:rPr>
      </w:pPr>
    </w:p>
    <w:sectPr>
      <w:headerReference r:id="rId8" w:type="default"/>
      <w:pgSz w:w="16834" w:h="11909" w:orient="landscape"/>
      <w:pgMar w:top="1800" w:right="1440" w:bottom="180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Microsoft YaHei UI">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8000012" w:usb3="00000000" w:csb0="0002009F" w:csb1="00000000"/>
  </w:font>
  <w:font w:name="MS Gothic">
    <w:panose1 w:val="020B0609070205080204"/>
    <w:charset w:val="80"/>
    <w:family w:val="modern"/>
    <w:pitch w:val="default"/>
    <w:sig w:usb0="E00002FF" w:usb1="6AC7FDFB" w:usb2="08000012" w:usb3="00000000" w:csb0="4002009F" w:csb1="DFD70000"/>
  </w:font>
  <w:font w:name="仿宋">
    <w:panose1 w:val="02010609060101010101"/>
    <w:charset w:val="86"/>
    <w:family w:val="modern"/>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680"/>
        <w:tab w:val="right" w:pos="9360"/>
      </w:tabs>
      <w:jc w:val="center"/>
      <w:rPr>
        <w:rFonts w:cstheme="minorHAnsi"/>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4</w:t>
    </w:r>
    <w:r>
      <w:rPr>
        <w:rFonts w:cstheme="minorHAnsi"/>
        <w:b/>
        <w:bCs/>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hd w:val="clear" w:color="auto" w:fill="FFFFFF" w:themeFill="background1"/>
      <w:tabs>
        <w:tab w:val="center" w:pos="4680"/>
        <w:tab w:val="right" w:pos="9360"/>
      </w:tabs>
      <w:jc w:val="center"/>
      <w:rPr>
        <w:rFonts w:cstheme="minorHAnsi"/>
        <w:b/>
        <w:bCs/>
        <w:sz w:val="18"/>
        <w:szCs w:val="18"/>
      </w:rPr>
    </w:pPr>
    <w:r>
      <w:rPr>
        <w:rFonts w:cstheme="minorHAnsi"/>
        <w:sz w:val="18"/>
        <w:szCs w:val="18"/>
      </w:rPr>
      <w:t xml:space="preserve">Page </w:t>
    </w:r>
    <w:r>
      <w:rPr>
        <w:rFonts w:cstheme="minorHAnsi"/>
        <w:b/>
        <w:bCs/>
        <w:sz w:val="18"/>
        <w:szCs w:val="18"/>
      </w:rPr>
      <w:fldChar w:fldCharType="begin"/>
    </w:r>
    <w:r>
      <w:rPr>
        <w:rFonts w:cstheme="minorHAnsi"/>
        <w:b/>
        <w:bCs/>
        <w:sz w:val="18"/>
        <w:szCs w:val="18"/>
      </w:rPr>
      <w:instrText xml:space="preserve"> PAGE </w:instrText>
    </w:r>
    <w:r>
      <w:rPr>
        <w:rFonts w:cstheme="minorHAnsi"/>
        <w:b/>
        <w:bCs/>
        <w:sz w:val="18"/>
        <w:szCs w:val="18"/>
      </w:rPr>
      <w:fldChar w:fldCharType="separate"/>
    </w:r>
    <w:r>
      <w:rPr>
        <w:rFonts w:cstheme="minorHAnsi"/>
        <w:b/>
        <w:bCs/>
        <w:sz w:val="18"/>
        <w:szCs w:val="18"/>
      </w:rPr>
      <w:t>1</w:t>
    </w:r>
    <w:r>
      <w:rPr>
        <w:rFonts w:cstheme="minorHAnsi"/>
        <w:b/>
        <w:bCs/>
        <w:sz w:val="18"/>
        <w:szCs w:val="18"/>
      </w:rPr>
      <w:fldChar w:fldCharType="end"/>
    </w:r>
    <w:r>
      <w:rPr>
        <w:rFonts w:cstheme="minorHAnsi"/>
        <w:sz w:val="18"/>
        <w:szCs w:val="18"/>
      </w:rPr>
      <w:t xml:space="preserve"> of </w:t>
    </w:r>
    <w:r>
      <w:rPr>
        <w:rFonts w:cstheme="minorHAnsi"/>
        <w:b/>
        <w:bCs/>
        <w:sz w:val="18"/>
        <w:szCs w:val="18"/>
      </w:rPr>
      <w:fldChar w:fldCharType="begin"/>
    </w:r>
    <w:r>
      <w:rPr>
        <w:rFonts w:cstheme="minorHAnsi"/>
        <w:b/>
        <w:bCs/>
        <w:sz w:val="18"/>
        <w:szCs w:val="18"/>
      </w:rPr>
      <w:instrText xml:space="preserve"> NUMPAGES  </w:instrText>
    </w:r>
    <w:r>
      <w:rPr>
        <w:rFonts w:cstheme="minorHAnsi"/>
        <w:b/>
        <w:bCs/>
        <w:sz w:val="18"/>
        <w:szCs w:val="18"/>
      </w:rPr>
      <w:fldChar w:fldCharType="separate"/>
    </w:r>
    <w:r>
      <w:rPr>
        <w:rFonts w:cstheme="minorHAnsi"/>
        <w:b/>
        <w:bCs/>
        <w:sz w:val="18"/>
        <w:szCs w:val="18"/>
      </w:rPr>
      <w:t>3</w:t>
    </w:r>
    <w:r>
      <w:rPr>
        <w:rFonts w:cstheme="minorHAnsi"/>
        <w:b/>
        <w:bCs/>
        <w:sz w:val="18"/>
        <w:szCs w:val="18"/>
      </w:rPr>
      <w:fldChar w:fldCharType="end"/>
    </w:r>
  </w:p>
  <w:p>
    <w:pPr>
      <w:shd w:val="clear" w:color="auto" w:fill="FFFFFF" w:themeFill="background1"/>
      <w:tabs>
        <w:tab w:val="center" w:pos="4680"/>
        <w:tab w:val="right" w:pos="9360"/>
      </w:tabs>
      <w:jc w:val="center"/>
      <w:rPr>
        <w:rFonts w:cstheme="minorHAnsi"/>
        <w:color w:val="FFFFFF" w:themeColor="background1"/>
        <w:sz w:val="18"/>
        <w:szCs w:val="18"/>
        <w14:textFill>
          <w14:solidFill>
            <w14:schemeClr w14:val="bg1"/>
          </w14:solidFill>
        </w14:textFill>
      </w:rPr>
    </w:pPr>
    <w:r>
      <w:rPr>
        <w:rFonts w:cstheme="minorHAnsi"/>
        <w:color w:val="FFFFFF" w:themeColor="background1"/>
        <w:sz w:val="18"/>
        <w:szCs w:val="18"/>
        <w14:textFill>
          <w14:solidFill>
            <w14:schemeClr w14:val="bg1"/>
          </w14:solidFill>
        </w14:textFill>
      </w:rPr>
      <w:t>Designed by WC, TCH and SQ; Updated by WC, XLX, SQ, SPRIMME team, UNDP China, Nov 2023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pStyle w:val="9"/>
      </w:pPr>
      <w:r>
        <w:rPr>
          <w:rStyle w:val="19"/>
        </w:rPr>
        <w:footnoteRef/>
      </w:r>
      <w:r>
        <w:t xml:space="preserve"> Please refer to UNDP Gender Equality Strategy 2022-2025 for more details: https://genderequalitystrategy.undp.org/#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3"/>
      <w:tblW w:w="0" w:type="auto"/>
      <w:tblInd w:w="0" w:type="dxa"/>
      <w:tblLayout w:type="fixed"/>
      <w:tblCellMar>
        <w:top w:w="0" w:type="dxa"/>
        <w:left w:w="108" w:type="dxa"/>
        <w:bottom w:w="0" w:type="dxa"/>
        <w:right w:w="108" w:type="dxa"/>
      </w:tblCellMar>
    </w:tblPr>
    <w:tblGrid>
      <w:gridCol w:w="2765"/>
      <w:gridCol w:w="2765"/>
      <w:gridCol w:w="2765"/>
    </w:tblGrid>
    <w:tr>
      <w:tblPrEx>
        <w:tblCellMar>
          <w:top w:w="0" w:type="dxa"/>
          <w:left w:w="108" w:type="dxa"/>
          <w:bottom w:w="0" w:type="dxa"/>
          <w:right w:w="108" w:type="dxa"/>
        </w:tblCellMar>
      </w:tblPrEx>
      <w:tc>
        <w:tcPr>
          <w:tcW w:w="2765" w:type="dxa"/>
        </w:tcPr>
        <w:p>
          <w:pPr>
            <w:pStyle w:val="8"/>
            <w:ind w:left="-115"/>
          </w:pPr>
        </w:p>
      </w:tc>
      <w:tc>
        <w:tcPr>
          <w:tcW w:w="2765" w:type="dxa"/>
        </w:tcPr>
        <w:p>
          <w:pPr>
            <w:pStyle w:val="8"/>
            <w:jc w:val="center"/>
          </w:pPr>
        </w:p>
      </w:tc>
      <w:tc>
        <w:tcPr>
          <w:tcW w:w="2765" w:type="dxa"/>
        </w:tcPr>
        <w:p>
          <w:pPr>
            <w:pStyle w:val="8"/>
            <w:ind w:right="-115"/>
            <w:jc w:val="right"/>
          </w:pPr>
        </w:p>
      </w:tc>
    </w:tr>
  </w:tbl>
  <w:p>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pPr>
    <w:r>
      <w:drawing>
        <wp:inline distT="0" distB="0" distL="0" distR="0">
          <wp:extent cx="471805"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rcRect r="5495" b="24320"/>
                  <a:stretch>
                    <a:fillRect/>
                  </a:stretch>
                </pic:blipFill>
                <pic:spPr>
                  <a:xfrm>
                    <a:off x="0" y="0"/>
                    <a:ext cx="485238" cy="798562"/>
                  </a:xfrm>
                  <a:prstGeom prst="rect">
                    <a:avLst/>
                  </a:prstGeom>
                  <a:noFill/>
                  <a:ln>
                    <a:noFill/>
                  </a:ln>
                </pic:spPr>
              </pic:pic>
            </a:graphicData>
          </a:graphic>
        </wp:inline>
      </w:drawing>
    </w:r>
  </w:p>
  <w:p>
    <w:pPr>
      <w:pStyle w:val="8"/>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EC2E99"/>
    <w:multiLevelType w:val="multilevel"/>
    <w:tmpl w:val="0AEC2E9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0D3E3D63"/>
    <w:multiLevelType w:val="multilevel"/>
    <w:tmpl w:val="0D3E3D63"/>
    <w:lvl w:ilvl="0" w:tentative="0">
      <w:start w:val="0"/>
      <w:numFmt w:val="bullet"/>
      <w:lvlText w:val="•"/>
      <w:lvlJc w:val="left"/>
      <w:pPr>
        <w:ind w:left="360" w:hanging="360"/>
      </w:pPr>
      <w:rPr>
        <w:rFonts w:hint="default" w:ascii="Calibri" w:hAnsi="Calibri" w:eastAsia="MS Mincho" w:cs="Calibri"/>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13723E60"/>
    <w:multiLevelType w:val="multilevel"/>
    <w:tmpl w:val="13723E60"/>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3">
    <w:nsid w:val="1A8924F8"/>
    <w:multiLevelType w:val="multilevel"/>
    <w:tmpl w:val="1A8924F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1EA26FA0"/>
    <w:multiLevelType w:val="multilevel"/>
    <w:tmpl w:val="1EA26FA0"/>
    <w:lvl w:ilvl="0" w:tentative="0">
      <w:start w:val="0"/>
      <w:numFmt w:val="bullet"/>
      <w:lvlText w:val="•"/>
      <w:lvlJc w:val="left"/>
      <w:pPr>
        <w:ind w:left="360" w:hanging="360"/>
      </w:pPr>
      <w:rPr>
        <w:rFonts w:hint="default" w:ascii="Calibri" w:hAnsi="Calibri" w:eastAsia="MS Mincho" w:cs="Calibri"/>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5">
    <w:nsid w:val="255A32DC"/>
    <w:multiLevelType w:val="multilevel"/>
    <w:tmpl w:val="255A32DC"/>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6">
    <w:nsid w:val="2AB345FA"/>
    <w:multiLevelType w:val="multilevel"/>
    <w:tmpl w:val="2AB345FA"/>
    <w:lvl w:ilvl="0" w:tentative="0">
      <w:start w:val="0"/>
      <w:numFmt w:val="bullet"/>
      <w:lvlText w:val="•"/>
      <w:lvlJc w:val="left"/>
      <w:pPr>
        <w:ind w:left="360" w:hanging="360"/>
      </w:pPr>
      <w:rPr>
        <w:rFonts w:hint="default" w:ascii="Calibri" w:hAnsi="Calibri" w:eastAsia="MS Mincho" w:cs="Calibri"/>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7">
    <w:nsid w:val="57DA0F56"/>
    <w:multiLevelType w:val="multilevel"/>
    <w:tmpl w:val="57DA0F56"/>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8">
    <w:nsid w:val="5AE37EF8"/>
    <w:multiLevelType w:val="multilevel"/>
    <w:tmpl w:val="5AE37EF8"/>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65A65505"/>
    <w:multiLevelType w:val="multilevel"/>
    <w:tmpl w:val="65A65505"/>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2"/>
  </w:num>
  <w:num w:numId="2">
    <w:abstractNumId w:val="8"/>
  </w:num>
  <w:num w:numId="3">
    <w:abstractNumId w:val="7"/>
  </w:num>
  <w:num w:numId="4">
    <w:abstractNumId w:val="4"/>
  </w:num>
  <w:num w:numId="5">
    <w:abstractNumId w:val="0"/>
  </w:num>
  <w:num w:numId="6">
    <w:abstractNumId w:val="5"/>
  </w:num>
  <w:num w:numId="7">
    <w:abstractNumId w:val="6"/>
  </w:num>
  <w:num w:numId="8">
    <w:abstractNumId w:val="9"/>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10"/>
  <w:displayHorizontalDrawingGridEvery w:val="2"/>
  <w:displayVerticalDrawingGridEvery w:val="2"/>
  <w:characterSpacingControl w:val="doNotCompress"/>
  <w:footnotePr>
    <w:footnote w:id="2"/>
    <w:footnote w:id="3"/>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rM0Mzc1MTY2NzQysjRQ0lEKTi0uzszPAykwrgUAY64lIiwAAAA="/>
    <w:docVar w:name="commondata" w:val="eyJoZGlkIjoiNjc2Y2I4ZTQ1YjAxMzBjM2UzZDZjMGJkY2U3OTQ2NjAifQ=="/>
  </w:docVars>
  <w:rsids>
    <w:rsidRoot w:val="002B08CF"/>
    <w:rsid w:val="00000B93"/>
    <w:rsid w:val="0000138A"/>
    <w:rsid w:val="00001E15"/>
    <w:rsid w:val="00003857"/>
    <w:rsid w:val="00003EA6"/>
    <w:rsid w:val="00003FFC"/>
    <w:rsid w:val="000051B5"/>
    <w:rsid w:val="00005D95"/>
    <w:rsid w:val="00012630"/>
    <w:rsid w:val="00012C53"/>
    <w:rsid w:val="00013068"/>
    <w:rsid w:val="0001422F"/>
    <w:rsid w:val="00014E30"/>
    <w:rsid w:val="0001565C"/>
    <w:rsid w:val="00015FE3"/>
    <w:rsid w:val="00016199"/>
    <w:rsid w:val="00016B98"/>
    <w:rsid w:val="0001758F"/>
    <w:rsid w:val="00020651"/>
    <w:rsid w:val="00023B28"/>
    <w:rsid w:val="00024431"/>
    <w:rsid w:val="00025A60"/>
    <w:rsid w:val="0002610D"/>
    <w:rsid w:val="000263D3"/>
    <w:rsid w:val="00026ABC"/>
    <w:rsid w:val="000277F4"/>
    <w:rsid w:val="000312EA"/>
    <w:rsid w:val="00033174"/>
    <w:rsid w:val="00034957"/>
    <w:rsid w:val="000361EE"/>
    <w:rsid w:val="00040863"/>
    <w:rsid w:val="00040962"/>
    <w:rsid w:val="0004242C"/>
    <w:rsid w:val="00042984"/>
    <w:rsid w:val="00043BEE"/>
    <w:rsid w:val="000448B2"/>
    <w:rsid w:val="00044B16"/>
    <w:rsid w:val="0004621D"/>
    <w:rsid w:val="0004656A"/>
    <w:rsid w:val="00047240"/>
    <w:rsid w:val="00050948"/>
    <w:rsid w:val="000519F4"/>
    <w:rsid w:val="000526E2"/>
    <w:rsid w:val="0005283C"/>
    <w:rsid w:val="000528B4"/>
    <w:rsid w:val="0005318B"/>
    <w:rsid w:val="00053B64"/>
    <w:rsid w:val="00055065"/>
    <w:rsid w:val="00056032"/>
    <w:rsid w:val="00056418"/>
    <w:rsid w:val="00057190"/>
    <w:rsid w:val="00057557"/>
    <w:rsid w:val="000612BA"/>
    <w:rsid w:val="000614D4"/>
    <w:rsid w:val="00061FC5"/>
    <w:rsid w:val="0006275E"/>
    <w:rsid w:val="00064492"/>
    <w:rsid w:val="00064D47"/>
    <w:rsid w:val="0006576A"/>
    <w:rsid w:val="00065B95"/>
    <w:rsid w:val="00065DE9"/>
    <w:rsid w:val="00065E87"/>
    <w:rsid w:val="00066475"/>
    <w:rsid w:val="00066A89"/>
    <w:rsid w:val="00066BCB"/>
    <w:rsid w:val="000704AE"/>
    <w:rsid w:val="0007114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AA4"/>
    <w:rsid w:val="00080DDF"/>
    <w:rsid w:val="00081CCB"/>
    <w:rsid w:val="00083942"/>
    <w:rsid w:val="00083B64"/>
    <w:rsid w:val="00085481"/>
    <w:rsid w:val="00085B68"/>
    <w:rsid w:val="00085ED4"/>
    <w:rsid w:val="00086511"/>
    <w:rsid w:val="00086561"/>
    <w:rsid w:val="000871FB"/>
    <w:rsid w:val="000876D2"/>
    <w:rsid w:val="0009036E"/>
    <w:rsid w:val="00090EA6"/>
    <w:rsid w:val="000948FB"/>
    <w:rsid w:val="00094E84"/>
    <w:rsid w:val="00094E90"/>
    <w:rsid w:val="00095074"/>
    <w:rsid w:val="000968BE"/>
    <w:rsid w:val="0009755D"/>
    <w:rsid w:val="000A0020"/>
    <w:rsid w:val="000A0649"/>
    <w:rsid w:val="000A08A8"/>
    <w:rsid w:val="000A0A0F"/>
    <w:rsid w:val="000A1626"/>
    <w:rsid w:val="000A2277"/>
    <w:rsid w:val="000A2BB5"/>
    <w:rsid w:val="000A3177"/>
    <w:rsid w:val="000A44C2"/>
    <w:rsid w:val="000A4C86"/>
    <w:rsid w:val="000A544B"/>
    <w:rsid w:val="000A5A3E"/>
    <w:rsid w:val="000A5E79"/>
    <w:rsid w:val="000A60BB"/>
    <w:rsid w:val="000A778D"/>
    <w:rsid w:val="000A7830"/>
    <w:rsid w:val="000B0C0A"/>
    <w:rsid w:val="000B0E74"/>
    <w:rsid w:val="000B112C"/>
    <w:rsid w:val="000B123E"/>
    <w:rsid w:val="000B18F3"/>
    <w:rsid w:val="000B1E6A"/>
    <w:rsid w:val="000B29B3"/>
    <w:rsid w:val="000B356A"/>
    <w:rsid w:val="000B6937"/>
    <w:rsid w:val="000B72BE"/>
    <w:rsid w:val="000B7866"/>
    <w:rsid w:val="000C0772"/>
    <w:rsid w:val="000C0D4E"/>
    <w:rsid w:val="000C2576"/>
    <w:rsid w:val="000C2880"/>
    <w:rsid w:val="000C2989"/>
    <w:rsid w:val="000C460C"/>
    <w:rsid w:val="000C46E6"/>
    <w:rsid w:val="000C5BA8"/>
    <w:rsid w:val="000C65DC"/>
    <w:rsid w:val="000C6A36"/>
    <w:rsid w:val="000C7719"/>
    <w:rsid w:val="000C7959"/>
    <w:rsid w:val="000D030F"/>
    <w:rsid w:val="000D2550"/>
    <w:rsid w:val="000D2F36"/>
    <w:rsid w:val="000D35DF"/>
    <w:rsid w:val="000D48A9"/>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6B11"/>
    <w:rsid w:val="000E6BDF"/>
    <w:rsid w:val="000E7402"/>
    <w:rsid w:val="000F00F4"/>
    <w:rsid w:val="000F0DC8"/>
    <w:rsid w:val="000F2833"/>
    <w:rsid w:val="000F4B15"/>
    <w:rsid w:val="000F52D1"/>
    <w:rsid w:val="000F5FF0"/>
    <w:rsid w:val="000F61FC"/>
    <w:rsid w:val="000F6208"/>
    <w:rsid w:val="000F7611"/>
    <w:rsid w:val="00100815"/>
    <w:rsid w:val="00100FDA"/>
    <w:rsid w:val="0010194D"/>
    <w:rsid w:val="001023BA"/>
    <w:rsid w:val="001031E5"/>
    <w:rsid w:val="0010479F"/>
    <w:rsid w:val="00106199"/>
    <w:rsid w:val="00107847"/>
    <w:rsid w:val="0011018D"/>
    <w:rsid w:val="001110D4"/>
    <w:rsid w:val="00111721"/>
    <w:rsid w:val="00111CA4"/>
    <w:rsid w:val="00112F0E"/>
    <w:rsid w:val="00113164"/>
    <w:rsid w:val="00113232"/>
    <w:rsid w:val="00113461"/>
    <w:rsid w:val="00114128"/>
    <w:rsid w:val="001143AF"/>
    <w:rsid w:val="00115B7D"/>
    <w:rsid w:val="0012005B"/>
    <w:rsid w:val="00120C82"/>
    <w:rsid w:val="00121148"/>
    <w:rsid w:val="0012236A"/>
    <w:rsid w:val="00122535"/>
    <w:rsid w:val="001244E9"/>
    <w:rsid w:val="00124D24"/>
    <w:rsid w:val="00125B18"/>
    <w:rsid w:val="00126AE3"/>
    <w:rsid w:val="001279A8"/>
    <w:rsid w:val="00127ABF"/>
    <w:rsid w:val="00130928"/>
    <w:rsid w:val="00131355"/>
    <w:rsid w:val="001322EC"/>
    <w:rsid w:val="001326A5"/>
    <w:rsid w:val="00132C44"/>
    <w:rsid w:val="001340B0"/>
    <w:rsid w:val="00134651"/>
    <w:rsid w:val="00134CAF"/>
    <w:rsid w:val="00137429"/>
    <w:rsid w:val="00140CDA"/>
    <w:rsid w:val="00140FE0"/>
    <w:rsid w:val="001415A7"/>
    <w:rsid w:val="00141D03"/>
    <w:rsid w:val="00141DF1"/>
    <w:rsid w:val="00142753"/>
    <w:rsid w:val="001436D6"/>
    <w:rsid w:val="0014423F"/>
    <w:rsid w:val="0014435D"/>
    <w:rsid w:val="00150A3F"/>
    <w:rsid w:val="0015175B"/>
    <w:rsid w:val="00151A22"/>
    <w:rsid w:val="00151B3B"/>
    <w:rsid w:val="00153278"/>
    <w:rsid w:val="00153496"/>
    <w:rsid w:val="001534F0"/>
    <w:rsid w:val="00153E01"/>
    <w:rsid w:val="00153FDF"/>
    <w:rsid w:val="00154F93"/>
    <w:rsid w:val="00155C75"/>
    <w:rsid w:val="0015665A"/>
    <w:rsid w:val="0015669A"/>
    <w:rsid w:val="00156740"/>
    <w:rsid w:val="00156E11"/>
    <w:rsid w:val="001578D8"/>
    <w:rsid w:val="001579F3"/>
    <w:rsid w:val="0016492D"/>
    <w:rsid w:val="0016576A"/>
    <w:rsid w:val="00165A51"/>
    <w:rsid w:val="00166D12"/>
    <w:rsid w:val="001674E4"/>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35E"/>
    <w:rsid w:val="0018424B"/>
    <w:rsid w:val="00184A0B"/>
    <w:rsid w:val="00184C38"/>
    <w:rsid w:val="00185504"/>
    <w:rsid w:val="00185E2B"/>
    <w:rsid w:val="00186352"/>
    <w:rsid w:val="00186C1D"/>
    <w:rsid w:val="00187088"/>
    <w:rsid w:val="001879FB"/>
    <w:rsid w:val="00187B0F"/>
    <w:rsid w:val="00187CD8"/>
    <w:rsid w:val="00190676"/>
    <w:rsid w:val="00190F97"/>
    <w:rsid w:val="00191D63"/>
    <w:rsid w:val="00192798"/>
    <w:rsid w:val="001947ED"/>
    <w:rsid w:val="00195719"/>
    <w:rsid w:val="001960F4"/>
    <w:rsid w:val="00196EC1"/>
    <w:rsid w:val="00197FE2"/>
    <w:rsid w:val="001A228A"/>
    <w:rsid w:val="001A39B0"/>
    <w:rsid w:val="001A426E"/>
    <w:rsid w:val="001A7123"/>
    <w:rsid w:val="001A7125"/>
    <w:rsid w:val="001B1FB9"/>
    <w:rsid w:val="001B2886"/>
    <w:rsid w:val="001B294D"/>
    <w:rsid w:val="001B40BF"/>
    <w:rsid w:val="001B4A13"/>
    <w:rsid w:val="001B6887"/>
    <w:rsid w:val="001B6CBD"/>
    <w:rsid w:val="001B7D18"/>
    <w:rsid w:val="001C1090"/>
    <w:rsid w:val="001C17BB"/>
    <w:rsid w:val="001C23EB"/>
    <w:rsid w:val="001C3848"/>
    <w:rsid w:val="001C3A28"/>
    <w:rsid w:val="001C3CE3"/>
    <w:rsid w:val="001C483D"/>
    <w:rsid w:val="001C4AA5"/>
    <w:rsid w:val="001C5396"/>
    <w:rsid w:val="001C54AE"/>
    <w:rsid w:val="001C5A05"/>
    <w:rsid w:val="001C5BCB"/>
    <w:rsid w:val="001C67D4"/>
    <w:rsid w:val="001C71A2"/>
    <w:rsid w:val="001C7E90"/>
    <w:rsid w:val="001D0096"/>
    <w:rsid w:val="001D01F9"/>
    <w:rsid w:val="001D0511"/>
    <w:rsid w:val="001D0AC2"/>
    <w:rsid w:val="001D0F7D"/>
    <w:rsid w:val="001D2381"/>
    <w:rsid w:val="001D27EA"/>
    <w:rsid w:val="001D35CC"/>
    <w:rsid w:val="001D433E"/>
    <w:rsid w:val="001D54AA"/>
    <w:rsid w:val="001D6451"/>
    <w:rsid w:val="001D7185"/>
    <w:rsid w:val="001D7528"/>
    <w:rsid w:val="001D7EBC"/>
    <w:rsid w:val="001E06DA"/>
    <w:rsid w:val="001E0824"/>
    <w:rsid w:val="001E0D03"/>
    <w:rsid w:val="001E198E"/>
    <w:rsid w:val="001E3905"/>
    <w:rsid w:val="001E39E5"/>
    <w:rsid w:val="001E56E7"/>
    <w:rsid w:val="001E77DB"/>
    <w:rsid w:val="001E7A72"/>
    <w:rsid w:val="001E7D64"/>
    <w:rsid w:val="001F1F4E"/>
    <w:rsid w:val="001F2143"/>
    <w:rsid w:val="001F38A0"/>
    <w:rsid w:val="001F38D1"/>
    <w:rsid w:val="001F480B"/>
    <w:rsid w:val="001F4A77"/>
    <w:rsid w:val="001F51DA"/>
    <w:rsid w:val="001F64C2"/>
    <w:rsid w:val="001F67D5"/>
    <w:rsid w:val="001F7CA3"/>
    <w:rsid w:val="002021B6"/>
    <w:rsid w:val="0020239B"/>
    <w:rsid w:val="0020243B"/>
    <w:rsid w:val="002026B5"/>
    <w:rsid w:val="00203B3F"/>
    <w:rsid w:val="00204974"/>
    <w:rsid w:val="00204E24"/>
    <w:rsid w:val="00205133"/>
    <w:rsid w:val="00205F18"/>
    <w:rsid w:val="00206B9A"/>
    <w:rsid w:val="00207352"/>
    <w:rsid w:val="00210075"/>
    <w:rsid w:val="00210384"/>
    <w:rsid w:val="002117E7"/>
    <w:rsid w:val="002123E2"/>
    <w:rsid w:val="00212678"/>
    <w:rsid w:val="00212FD8"/>
    <w:rsid w:val="00220110"/>
    <w:rsid w:val="00221571"/>
    <w:rsid w:val="0022364E"/>
    <w:rsid w:val="00223E01"/>
    <w:rsid w:val="00225D01"/>
    <w:rsid w:val="00226E22"/>
    <w:rsid w:val="00226F68"/>
    <w:rsid w:val="00227097"/>
    <w:rsid w:val="00230C83"/>
    <w:rsid w:val="00231FB9"/>
    <w:rsid w:val="00232CC8"/>
    <w:rsid w:val="0023346A"/>
    <w:rsid w:val="002343F0"/>
    <w:rsid w:val="00234630"/>
    <w:rsid w:val="00234C49"/>
    <w:rsid w:val="00235A2A"/>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AD9"/>
    <w:rsid w:val="0025237F"/>
    <w:rsid w:val="002529ED"/>
    <w:rsid w:val="002532ED"/>
    <w:rsid w:val="0025396F"/>
    <w:rsid w:val="00254D33"/>
    <w:rsid w:val="00254DD9"/>
    <w:rsid w:val="00256BFD"/>
    <w:rsid w:val="0025726C"/>
    <w:rsid w:val="00260693"/>
    <w:rsid w:val="002630CC"/>
    <w:rsid w:val="00263488"/>
    <w:rsid w:val="00263534"/>
    <w:rsid w:val="00263B69"/>
    <w:rsid w:val="00265707"/>
    <w:rsid w:val="00265E50"/>
    <w:rsid w:val="00266186"/>
    <w:rsid w:val="00266D46"/>
    <w:rsid w:val="00266F41"/>
    <w:rsid w:val="002716B6"/>
    <w:rsid w:val="0027185C"/>
    <w:rsid w:val="00271A4E"/>
    <w:rsid w:val="00271CB6"/>
    <w:rsid w:val="002726FB"/>
    <w:rsid w:val="0027292E"/>
    <w:rsid w:val="00272D91"/>
    <w:rsid w:val="00273A56"/>
    <w:rsid w:val="00273BD0"/>
    <w:rsid w:val="00274771"/>
    <w:rsid w:val="00274A43"/>
    <w:rsid w:val="00274C66"/>
    <w:rsid w:val="002756D5"/>
    <w:rsid w:val="00275936"/>
    <w:rsid w:val="00276F62"/>
    <w:rsid w:val="0027796C"/>
    <w:rsid w:val="00281105"/>
    <w:rsid w:val="0028221D"/>
    <w:rsid w:val="002829E1"/>
    <w:rsid w:val="00282CE4"/>
    <w:rsid w:val="00284CAD"/>
    <w:rsid w:val="0028563A"/>
    <w:rsid w:val="002900D6"/>
    <w:rsid w:val="00290AF1"/>
    <w:rsid w:val="00291F4D"/>
    <w:rsid w:val="0029213E"/>
    <w:rsid w:val="00292559"/>
    <w:rsid w:val="002949A6"/>
    <w:rsid w:val="00294A3A"/>
    <w:rsid w:val="00294ED2"/>
    <w:rsid w:val="00294F34"/>
    <w:rsid w:val="002959A6"/>
    <w:rsid w:val="00297900"/>
    <w:rsid w:val="002A2BF3"/>
    <w:rsid w:val="002A5DA5"/>
    <w:rsid w:val="002A67CD"/>
    <w:rsid w:val="002B08CF"/>
    <w:rsid w:val="002B0E64"/>
    <w:rsid w:val="002B0F92"/>
    <w:rsid w:val="002B1B6F"/>
    <w:rsid w:val="002B1E79"/>
    <w:rsid w:val="002B4357"/>
    <w:rsid w:val="002B4E48"/>
    <w:rsid w:val="002B5820"/>
    <w:rsid w:val="002B65E4"/>
    <w:rsid w:val="002B6AF6"/>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A4A"/>
    <w:rsid w:val="002D5E8D"/>
    <w:rsid w:val="002E0303"/>
    <w:rsid w:val="002E035B"/>
    <w:rsid w:val="002E04C9"/>
    <w:rsid w:val="002E0B72"/>
    <w:rsid w:val="002E0DEF"/>
    <w:rsid w:val="002E13C3"/>
    <w:rsid w:val="002E1466"/>
    <w:rsid w:val="002E1AC4"/>
    <w:rsid w:val="002E1E0E"/>
    <w:rsid w:val="002E4B48"/>
    <w:rsid w:val="002E5098"/>
    <w:rsid w:val="002E5EC3"/>
    <w:rsid w:val="002E603A"/>
    <w:rsid w:val="002E7B35"/>
    <w:rsid w:val="002F03F7"/>
    <w:rsid w:val="002F0589"/>
    <w:rsid w:val="002F24FF"/>
    <w:rsid w:val="002F3051"/>
    <w:rsid w:val="002F46A8"/>
    <w:rsid w:val="002F4AD3"/>
    <w:rsid w:val="002F531A"/>
    <w:rsid w:val="002F72F5"/>
    <w:rsid w:val="002F7991"/>
    <w:rsid w:val="002F7A8F"/>
    <w:rsid w:val="003000FB"/>
    <w:rsid w:val="0030044E"/>
    <w:rsid w:val="00303455"/>
    <w:rsid w:val="00304A3D"/>
    <w:rsid w:val="00304EFF"/>
    <w:rsid w:val="00311151"/>
    <w:rsid w:val="00311200"/>
    <w:rsid w:val="003114AC"/>
    <w:rsid w:val="00311D5D"/>
    <w:rsid w:val="0031272C"/>
    <w:rsid w:val="0031280A"/>
    <w:rsid w:val="00312DF8"/>
    <w:rsid w:val="003155DD"/>
    <w:rsid w:val="00315BCB"/>
    <w:rsid w:val="003171A4"/>
    <w:rsid w:val="00317504"/>
    <w:rsid w:val="00317A67"/>
    <w:rsid w:val="003208B7"/>
    <w:rsid w:val="00320E29"/>
    <w:rsid w:val="0032140F"/>
    <w:rsid w:val="00321B68"/>
    <w:rsid w:val="00321B99"/>
    <w:rsid w:val="0032365C"/>
    <w:rsid w:val="00324B30"/>
    <w:rsid w:val="003262DD"/>
    <w:rsid w:val="00326BFD"/>
    <w:rsid w:val="00326CD9"/>
    <w:rsid w:val="00326E08"/>
    <w:rsid w:val="00330E12"/>
    <w:rsid w:val="00331A87"/>
    <w:rsid w:val="003329B9"/>
    <w:rsid w:val="00332A35"/>
    <w:rsid w:val="003338F2"/>
    <w:rsid w:val="0033403A"/>
    <w:rsid w:val="003358A0"/>
    <w:rsid w:val="003375A2"/>
    <w:rsid w:val="003377B3"/>
    <w:rsid w:val="00341B21"/>
    <w:rsid w:val="003424C2"/>
    <w:rsid w:val="00343609"/>
    <w:rsid w:val="0034371F"/>
    <w:rsid w:val="003444AB"/>
    <w:rsid w:val="0034556B"/>
    <w:rsid w:val="0034672B"/>
    <w:rsid w:val="00346CC5"/>
    <w:rsid w:val="00350B52"/>
    <w:rsid w:val="0035173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CC6"/>
    <w:rsid w:val="00366B9F"/>
    <w:rsid w:val="00367C8B"/>
    <w:rsid w:val="00371CFA"/>
    <w:rsid w:val="00373820"/>
    <w:rsid w:val="00373B3C"/>
    <w:rsid w:val="00373BDF"/>
    <w:rsid w:val="00373CB0"/>
    <w:rsid w:val="00375179"/>
    <w:rsid w:val="00375235"/>
    <w:rsid w:val="0037570C"/>
    <w:rsid w:val="00375E3E"/>
    <w:rsid w:val="0037625C"/>
    <w:rsid w:val="0037631F"/>
    <w:rsid w:val="00377679"/>
    <w:rsid w:val="00377D48"/>
    <w:rsid w:val="00380994"/>
    <w:rsid w:val="00380E9F"/>
    <w:rsid w:val="003819F8"/>
    <w:rsid w:val="003834CB"/>
    <w:rsid w:val="0038360E"/>
    <w:rsid w:val="0038363F"/>
    <w:rsid w:val="003843A5"/>
    <w:rsid w:val="003868B3"/>
    <w:rsid w:val="00386C95"/>
    <w:rsid w:val="00387F04"/>
    <w:rsid w:val="00390AF5"/>
    <w:rsid w:val="00390D05"/>
    <w:rsid w:val="0039124C"/>
    <w:rsid w:val="00391545"/>
    <w:rsid w:val="0039275D"/>
    <w:rsid w:val="0039344B"/>
    <w:rsid w:val="00393DDA"/>
    <w:rsid w:val="00393F99"/>
    <w:rsid w:val="003942E7"/>
    <w:rsid w:val="0039492E"/>
    <w:rsid w:val="00394A3A"/>
    <w:rsid w:val="003964A1"/>
    <w:rsid w:val="00396A03"/>
    <w:rsid w:val="00396C00"/>
    <w:rsid w:val="0039709C"/>
    <w:rsid w:val="003A0CC5"/>
    <w:rsid w:val="003A1FA4"/>
    <w:rsid w:val="003A20E3"/>
    <w:rsid w:val="003A3514"/>
    <w:rsid w:val="003A501B"/>
    <w:rsid w:val="003A5424"/>
    <w:rsid w:val="003A6895"/>
    <w:rsid w:val="003A7179"/>
    <w:rsid w:val="003B029E"/>
    <w:rsid w:val="003B0944"/>
    <w:rsid w:val="003B2218"/>
    <w:rsid w:val="003B32B7"/>
    <w:rsid w:val="003B37B5"/>
    <w:rsid w:val="003B4ACA"/>
    <w:rsid w:val="003B5AB9"/>
    <w:rsid w:val="003B68D1"/>
    <w:rsid w:val="003B7372"/>
    <w:rsid w:val="003B7664"/>
    <w:rsid w:val="003C0530"/>
    <w:rsid w:val="003C05A3"/>
    <w:rsid w:val="003C06FC"/>
    <w:rsid w:val="003C0C1A"/>
    <w:rsid w:val="003C2147"/>
    <w:rsid w:val="003C48EC"/>
    <w:rsid w:val="003C4954"/>
    <w:rsid w:val="003C583E"/>
    <w:rsid w:val="003C6F9C"/>
    <w:rsid w:val="003C780B"/>
    <w:rsid w:val="003C7D25"/>
    <w:rsid w:val="003D04FD"/>
    <w:rsid w:val="003D054C"/>
    <w:rsid w:val="003D0682"/>
    <w:rsid w:val="003D23ED"/>
    <w:rsid w:val="003D32E3"/>
    <w:rsid w:val="003D3A50"/>
    <w:rsid w:val="003D556E"/>
    <w:rsid w:val="003D5BE3"/>
    <w:rsid w:val="003D6E94"/>
    <w:rsid w:val="003E09D4"/>
    <w:rsid w:val="003E0D43"/>
    <w:rsid w:val="003E329F"/>
    <w:rsid w:val="003E36A0"/>
    <w:rsid w:val="003E4DB7"/>
    <w:rsid w:val="003E645B"/>
    <w:rsid w:val="003E67B6"/>
    <w:rsid w:val="003E6CEB"/>
    <w:rsid w:val="003E6ECC"/>
    <w:rsid w:val="003F027B"/>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738"/>
    <w:rsid w:val="00404AB7"/>
    <w:rsid w:val="00405E73"/>
    <w:rsid w:val="00406DE3"/>
    <w:rsid w:val="00407D1E"/>
    <w:rsid w:val="00410563"/>
    <w:rsid w:val="00410AEC"/>
    <w:rsid w:val="00411106"/>
    <w:rsid w:val="00412422"/>
    <w:rsid w:val="00413D48"/>
    <w:rsid w:val="0041548C"/>
    <w:rsid w:val="00417369"/>
    <w:rsid w:val="00417C38"/>
    <w:rsid w:val="00420598"/>
    <w:rsid w:val="00420918"/>
    <w:rsid w:val="00420962"/>
    <w:rsid w:val="00422024"/>
    <w:rsid w:val="004234D2"/>
    <w:rsid w:val="00425121"/>
    <w:rsid w:val="00425346"/>
    <w:rsid w:val="0042545F"/>
    <w:rsid w:val="00426028"/>
    <w:rsid w:val="00426A13"/>
    <w:rsid w:val="00427BC4"/>
    <w:rsid w:val="00427DA6"/>
    <w:rsid w:val="00427E7D"/>
    <w:rsid w:val="00430965"/>
    <w:rsid w:val="0043187B"/>
    <w:rsid w:val="00432994"/>
    <w:rsid w:val="00433E74"/>
    <w:rsid w:val="00434910"/>
    <w:rsid w:val="00441154"/>
    <w:rsid w:val="00441C8A"/>
    <w:rsid w:val="00443801"/>
    <w:rsid w:val="00444396"/>
    <w:rsid w:val="00444DFA"/>
    <w:rsid w:val="00445EB5"/>
    <w:rsid w:val="0044619E"/>
    <w:rsid w:val="0044706D"/>
    <w:rsid w:val="00447534"/>
    <w:rsid w:val="00447CC6"/>
    <w:rsid w:val="00450505"/>
    <w:rsid w:val="00450FFA"/>
    <w:rsid w:val="00451EEF"/>
    <w:rsid w:val="00452755"/>
    <w:rsid w:val="004537BA"/>
    <w:rsid w:val="00453D0B"/>
    <w:rsid w:val="00454371"/>
    <w:rsid w:val="004547DD"/>
    <w:rsid w:val="00455BBD"/>
    <w:rsid w:val="00456192"/>
    <w:rsid w:val="00456411"/>
    <w:rsid w:val="00456608"/>
    <w:rsid w:val="00456E5B"/>
    <w:rsid w:val="00456E7D"/>
    <w:rsid w:val="00457F09"/>
    <w:rsid w:val="00461430"/>
    <w:rsid w:val="004634C6"/>
    <w:rsid w:val="0046391C"/>
    <w:rsid w:val="00465A9F"/>
    <w:rsid w:val="00465C37"/>
    <w:rsid w:val="00465E07"/>
    <w:rsid w:val="004662CA"/>
    <w:rsid w:val="004665BC"/>
    <w:rsid w:val="004678EF"/>
    <w:rsid w:val="00471592"/>
    <w:rsid w:val="00471CE5"/>
    <w:rsid w:val="00472025"/>
    <w:rsid w:val="00472DA9"/>
    <w:rsid w:val="00472E9E"/>
    <w:rsid w:val="00476385"/>
    <w:rsid w:val="00477C49"/>
    <w:rsid w:val="004804D3"/>
    <w:rsid w:val="0048161F"/>
    <w:rsid w:val="00481D71"/>
    <w:rsid w:val="00482715"/>
    <w:rsid w:val="0048390B"/>
    <w:rsid w:val="00484B35"/>
    <w:rsid w:val="004872B6"/>
    <w:rsid w:val="004907CF"/>
    <w:rsid w:val="004920B5"/>
    <w:rsid w:val="00492E11"/>
    <w:rsid w:val="00493B4C"/>
    <w:rsid w:val="00493C4C"/>
    <w:rsid w:val="00493D8B"/>
    <w:rsid w:val="00494203"/>
    <w:rsid w:val="004962DE"/>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4FF3"/>
    <w:rsid w:val="004B667A"/>
    <w:rsid w:val="004B698E"/>
    <w:rsid w:val="004B73C5"/>
    <w:rsid w:val="004B7B50"/>
    <w:rsid w:val="004C12BF"/>
    <w:rsid w:val="004C210B"/>
    <w:rsid w:val="004C2FF1"/>
    <w:rsid w:val="004C4B2B"/>
    <w:rsid w:val="004C56DF"/>
    <w:rsid w:val="004C5F7B"/>
    <w:rsid w:val="004C7275"/>
    <w:rsid w:val="004C73A7"/>
    <w:rsid w:val="004C76B4"/>
    <w:rsid w:val="004D233F"/>
    <w:rsid w:val="004D251B"/>
    <w:rsid w:val="004D357C"/>
    <w:rsid w:val="004D36D9"/>
    <w:rsid w:val="004D37B6"/>
    <w:rsid w:val="004D4665"/>
    <w:rsid w:val="004D58DD"/>
    <w:rsid w:val="004D68C6"/>
    <w:rsid w:val="004D6912"/>
    <w:rsid w:val="004D73A7"/>
    <w:rsid w:val="004D7914"/>
    <w:rsid w:val="004D7D82"/>
    <w:rsid w:val="004E209F"/>
    <w:rsid w:val="004E22EE"/>
    <w:rsid w:val="004E33D5"/>
    <w:rsid w:val="004E341F"/>
    <w:rsid w:val="004E34E6"/>
    <w:rsid w:val="004E4C60"/>
    <w:rsid w:val="004E4E36"/>
    <w:rsid w:val="004E4F0E"/>
    <w:rsid w:val="004E5969"/>
    <w:rsid w:val="004E5EDF"/>
    <w:rsid w:val="004E6B35"/>
    <w:rsid w:val="004E7A57"/>
    <w:rsid w:val="004F282E"/>
    <w:rsid w:val="004F2CCB"/>
    <w:rsid w:val="004F3F2C"/>
    <w:rsid w:val="004F4693"/>
    <w:rsid w:val="004F5674"/>
    <w:rsid w:val="004F596B"/>
    <w:rsid w:val="004F5FB1"/>
    <w:rsid w:val="004F6018"/>
    <w:rsid w:val="004F6234"/>
    <w:rsid w:val="004F6F96"/>
    <w:rsid w:val="004F71CE"/>
    <w:rsid w:val="004F7FA9"/>
    <w:rsid w:val="00500B1B"/>
    <w:rsid w:val="00500B32"/>
    <w:rsid w:val="00501D93"/>
    <w:rsid w:val="00501E7E"/>
    <w:rsid w:val="00502454"/>
    <w:rsid w:val="005043AA"/>
    <w:rsid w:val="00504442"/>
    <w:rsid w:val="0050588B"/>
    <w:rsid w:val="005070D6"/>
    <w:rsid w:val="0050719D"/>
    <w:rsid w:val="00510340"/>
    <w:rsid w:val="00510AC4"/>
    <w:rsid w:val="00510C0F"/>
    <w:rsid w:val="005111B7"/>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59C"/>
    <w:rsid w:val="00521E9F"/>
    <w:rsid w:val="00522D31"/>
    <w:rsid w:val="005245B5"/>
    <w:rsid w:val="005246A4"/>
    <w:rsid w:val="005315EE"/>
    <w:rsid w:val="00533419"/>
    <w:rsid w:val="005352C5"/>
    <w:rsid w:val="0053539E"/>
    <w:rsid w:val="00535418"/>
    <w:rsid w:val="00535779"/>
    <w:rsid w:val="005357DE"/>
    <w:rsid w:val="00535890"/>
    <w:rsid w:val="0053591E"/>
    <w:rsid w:val="00536104"/>
    <w:rsid w:val="00536A4D"/>
    <w:rsid w:val="005401CF"/>
    <w:rsid w:val="00540292"/>
    <w:rsid w:val="00540F23"/>
    <w:rsid w:val="00541E8E"/>
    <w:rsid w:val="00544015"/>
    <w:rsid w:val="005454BC"/>
    <w:rsid w:val="00545E4F"/>
    <w:rsid w:val="00550828"/>
    <w:rsid w:val="00551A37"/>
    <w:rsid w:val="005522B1"/>
    <w:rsid w:val="00553DE9"/>
    <w:rsid w:val="00553FB4"/>
    <w:rsid w:val="005550FA"/>
    <w:rsid w:val="0055555B"/>
    <w:rsid w:val="005555FE"/>
    <w:rsid w:val="00556491"/>
    <w:rsid w:val="00557B03"/>
    <w:rsid w:val="0056024B"/>
    <w:rsid w:val="0056025B"/>
    <w:rsid w:val="005604A0"/>
    <w:rsid w:val="00562971"/>
    <w:rsid w:val="005629EF"/>
    <w:rsid w:val="005648C3"/>
    <w:rsid w:val="005654FF"/>
    <w:rsid w:val="0056598C"/>
    <w:rsid w:val="00565AA7"/>
    <w:rsid w:val="00565B02"/>
    <w:rsid w:val="00565C0D"/>
    <w:rsid w:val="005666CD"/>
    <w:rsid w:val="00566772"/>
    <w:rsid w:val="005667C9"/>
    <w:rsid w:val="0056687C"/>
    <w:rsid w:val="00566EDA"/>
    <w:rsid w:val="00570475"/>
    <w:rsid w:val="00575324"/>
    <w:rsid w:val="00575DF1"/>
    <w:rsid w:val="00576640"/>
    <w:rsid w:val="00576F76"/>
    <w:rsid w:val="0057720F"/>
    <w:rsid w:val="00580071"/>
    <w:rsid w:val="00580C20"/>
    <w:rsid w:val="005818AC"/>
    <w:rsid w:val="00581FD8"/>
    <w:rsid w:val="00585A36"/>
    <w:rsid w:val="00586420"/>
    <w:rsid w:val="00586423"/>
    <w:rsid w:val="00586BB9"/>
    <w:rsid w:val="0059006E"/>
    <w:rsid w:val="00590A98"/>
    <w:rsid w:val="00591934"/>
    <w:rsid w:val="0059219C"/>
    <w:rsid w:val="00592D5F"/>
    <w:rsid w:val="00593159"/>
    <w:rsid w:val="00594176"/>
    <w:rsid w:val="00595F54"/>
    <w:rsid w:val="00596DE1"/>
    <w:rsid w:val="00596F1E"/>
    <w:rsid w:val="005A0097"/>
    <w:rsid w:val="005A0488"/>
    <w:rsid w:val="005A0F41"/>
    <w:rsid w:val="005A222F"/>
    <w:rsid w:val="005A4169"/>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A9F"/>
    <w:rsid w:val="005C2F16"/>
    <w:rsid w:val="005C3136"/>
    <w:rsid w:val="005C3B2F"/>
    <w:rsid w:val="005C4657"/>
    <w:rsid w:val="005C551B"/>
    <w:rsid w:val="005C594B"/>
    <w:rsid w:val="005C59CB"/>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2EB0"/>
    <w:rsid w:val="005E431B"/>
    <w:rsid w:val="005E4FB7"/>
    <w:rsid w:val="005E5336"/>
    <w:rsid w:val="005E5DF6"/>
    <w:rsid w:val="005E7091"/>
    <w:rsid w:val="005E7379"/>
    <w:rsid w:val="005F0CE2"/>
    <w:rsid w:val="005F2444"/>
    <w:rsid w:val="005F3212"/>
    <w:rsid w:val="005F38CB"/>
    <w:rsid w:val="005F3F07"/>
    <w:rsid w:val="005F472A"/>
    <w:rsid w:val="005F51DF"/>
    <w:rsid w:val="005F5649"/>
    <w:rsid w:val="005F564C"/>
    <w:rsid w:val="005F6CEB"/>
    <w:rsid w:val="005F72BF"/>
    <w:rsid w:val="00600ABA"/>
    <w:rsid w:val="006018A3"/>
    <w:rsid w:val="00601C7C"/>
    <w:rsid w:val="006021B6"/>
    <w:rsid w:val="00603407"/>
    <w:rsid w:val="0060371F"/>
    <w:rsid w:val="0060408F"/>
    <w:rsid w:val="00604B6B"/>
    <w:rsid w:val="00604E3F"/>
    <w:rsid w:val="00604EDC"/>
    <w:rsid w:val="00605A47"/>
    <w:rsid w:val="00605C70"/>
    <w:rsid w:val="00605E62"/>
    <w:rsid w:val="006063FE"/>
    <w:rsid w:val="006079EF"/>
    <w:rsid w:val="00610B3E"/>
    <w:rsid w:val="00612E74"/>
    <w:rsid w:val="00615B2D"/>
    <w:rsid w:val="00616559"/>
    <w:rsid w:val="006169C6"/>
    <w:rsid w:val="00616BC8"/>
    <w:rsid w:val="006173DA"/>
    <w:rsid w:val="00620AC1"/>
    <w:rsid w:val="0062138D"/>
    <w:rsid w:val="00622C1A"/>
    <w:rsid w:val="00623A37"/>
    <w:rsid w:val="00625C75"/>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32EF"/>
    <w:rsid w:val="00643508"/>
    <w:rsid w:val="006446CB"/>
    <w:rsid w:val="00644FF9"/>
    <w:rsid w:val="00647037"/>
    <w:rsid w:val="00647281"/>
    <w:rsid w:val="00650871"/>
    <w:rsid w:val="006516E4"/>
    <w:rsid w:val="006517F1"/>
    <w:rsid w:val="00651CA2"/>
    <w:rsid w:val="0065378E"/>
    <w:rsid w:val="00653D64"/>
    <w:rsid w:val="0065457C"/>
    <w:rsid w:val="00654A1F"/>
    <w:rsid w:val="0065543D"/>
    <w:rsid w:val="00655CA2"/>
    <w:rsid w:val="00655EF5"/>
    <w:rsid w:val="006563C4"/>
    <w:rsid w:val="0065751C"/>
    <w:rsid w:val="00657759"/>
    <w:rsid w:val="006613CE"/>
    <w:rsid w:val="006617D6"/>
    <w:rsid w:val="00662001"/>
    <w:rsid w:val="0066393F"/>
    <w:rsid w:val="006640A8"/>
    <w:rsid w:val="00664670"/>
    <w:rsid w:val="00664971"/>
    <w:rsid w:val="00664C5A"/>
    <w:rsid w:val="00664C78"/>
    <w:rsid w:val="00665CC2"/>
    <w:rsid w:val="006664B5"/>
    <w:rsid w:val="00667D80"/>
    <w:rsid w:val="006707E4"/>
    <w:rsid w:val="00670A28"/>
    <w:rsid w:val="00670ED7"/>
    <w:rsid w:val="00670FA0"/>
    <w:rsid w:val="00671091"/>
    <w:rsid w:val="00671F9D"/>
    <w:rsid w:val="0067300C"/>
    <w:rsid w:val="0067350C"/>
    <w:rsid w:val="006745E1"/>
    <w:rsid w:val="00674633"/>
    <w:rsid w:val="0067655B"/>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44EC"/>
    <w:rsid w:val="00695CA0"/>
    <w:rsid w:val="006967C1"/>
    <w:rsid w:val="006972B8"/>
    <w:rsid w:val="006A0142"/>
    <w:rsid w:val="006A0A87"/>
    <w:rsid w:val="006A0AEF"/>
    <w:rsid w:val="006A1AC7"/>
    <w:rsid w:val="006A2087"/>
    <w:rsid w:val="006A2185"/>
    <w:rsid w:val="006A3BF3"/>
    <w:rsid w:val="006A3D4A"/>
    <w:rsid w:val="006A5126"/>
    <w:rsid w:val="006A6348"/>
    <w:rsid w:val="006A6510"/>
    <w:rsid w:val="006A65D0"/>
    <w:rsid w:val="006A66BE"/>
    <w:rsid w:val="006A67A0"/>
    <w:rsid w:val="006A7CDB"/>
    <w:rsid w:val="006B0753"/>
    <w:rsid w:val="006B1030"/>
    <w:rsid w:val="006B111B"/>
    <w:rsid w:val="006B22A4"/>
    <w:rsid w:val="006B231D"/>
    <w:rsid w:val="006B2AB4"/>
    <w:rsid w:val="006B6219"/>
    <w:rsid w:val="006B6886"/>
    <w:rsid w:val="006B76D6"/>
    <w:rsid w:val="006C0D5B"/>
    <w:rsid w:val="006C11B9"/>
    <w:rsid w:val="006C2C9E"/>
    <w:rsid w:val="006C32E1"/>
    <w:rsid w:val="006C3F94"/>
    <w:rsid w:val="006C48DC"/>
    <w:rsid w:val="006C4E0E"/>
    <w:rsid w:val="006C620A"/>
    <w:rsid w:val="006C674C"/>
    <w:rsid w:val="006C6904"/>
    <w:rsid w:val="006C74E1"/>
    <w:rsid w:val="006C7B5D"/>
    <w:rsid w:val="006D0E57"/>
    <w:rsid w:val="006D226C"/>
    <w:rsid w:val="006D3055"/>
    <w:rsid w:val="006D3848"/>
    <w:rsid w:val="006D3A3D"/>
    <w:rsid w:val="006D41FF"/>
    <w:rsid w:val="006D4890"/>
    <w:rsid w:val="006D5B31"/>
    <w:rsid w:val="006E00BF"/>
    <w:rsid w:val="006E0931"/>
    <w:rsid w:val="006E29FC"/>
    <w:rsid w:val="006E323E"/>
    <w:rsid w:val="006E43F2"/>
    <w:rsid w:val="006E43F5"/>
    <w:rsid w:val="006E452B"/>
    <w:rsid w:val="006E531A"/>
    <w:rsid w:val="006E655E"/>
    <w:rsid w:val="006E68FD"/>
    <w:rsid w:val="006E6ED5"/>
    <w:rsid w:val="006E7365"/>
    <w:rsid w:val="006E7991"/>
    <w:rsid w:val="006F2114"/>
    <w:rsid w:val="006F215C"/>
    <w:rsid w:val="006F2659"/>
    <w:rsid w:val="006F2D9A"/>
    <w:rsid w:val="006F407E"/>
    <w:rsid w:val="006F492F"/>
    <w:rsid w:val="006F5EB8"/>
    <w:rsid w:val="006F680F"/>
    <w:rsid w:val="006F72C7"/>
    <w:rsid w:val="00701D0F"/>
    <w:rsid w:val="007024F1"/>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88B"/>
    <w:rsid w:val="00715D7B"/>
    <w:rsid w:val="0071711D"/>
    <w:rsid w:val="00717C14"/>
    <w:rsid w:val="00720D14"/>
    <w:rsid w:val="007230D0"/>
    <w:rsid w:val="00723AFB"/>
    <w:rsid w:val="0072498E"/>
    <w:rsid w:val="00725559"/>
    <w:rsid w:val="00726235"/>
    <w:rsid w:val="0072666F"/>
    <w:rsid w:val="007277D0"/>
    <w:rsid w:val="00730A9A"/>
    <w:rsid w:val="00733F1F"/>
    <w:rsid w:val="00734106"/>
    <w:rsid w:val="0073468F"/>
    <w:rsid w:val="00734C51"/>
    <w:rsid w:val="00734CAE"/>
    <w:rsid w:val="00735BA1"/>
    <w:rsid w:val="00737AD6"/>
    <w:rsid w:val="00740680"/>
    <w:rsid w:val="007412A1"/>
    <w:rsid w:val="00741C4D"/>
    <w:rsid w:val="00741DD5"/>
    <w:rsid w:val="007449C0"/>
    <w:rsid w:val="007456E8"/>
    <w:rsid w:val="00745A1C"/>
    <w:rsid w:val="00746750"/>
    <w:rsid w:val="00747374"/>
    <w:rsid w:val="00747798"/>
    <w:rsid w:val="007509F9"/>
    <w:rsid w:val="00752385"/>
    <w:rsid w:val="007531AE"/>
    <w:rsid w:val="0075377F"/>
    <w:rsid w:val="00753EC5"/>
    <w:rsid w:val="0075464D"/>
    <w:rsid w:val="00755127"/>
    <w:rsid w:val="00755530"/>
    <w:rsid w:val="007600C8"/>
    <w:rsid w:val="0076076C"/>
    <w:rsid w:val="00760B59"/>
    <w:rsid w:val="00761CD7"/>
    <w:rsid w:val="0076318A"/>
    <w:rsid w:val="007633A4"/>
    <w:rsid w:val="0076358A"/>
    <w:rsid w:val="00764DF6"/>
    <w:rsid w:val="0076526F"/>
    <w:rsid w:val="007671E1"/>
    <w:rsid w:val="007676C7"/>
    <w:rsid w:val="00770064"/>
    <w:rsid w:val="007704AE"/>
    <w:rsid w:val="00770C0E"/>
    <w:rsid w:val="007722CE"/>
    <w:rsid w:val="007724E0"/>
    <w:rsid w:val="00772F48"/>
    <w:rsid w:val="00772FB9"/>
    <w:rsid w:val="00775133"/>
    <w:rsid w:val="00777166"/>
    <w:rsid w:val="00780B8C"/>
    <w:rsid w:val="00784427"/>
    <w:rsid w:val="00785118"/>
    <w:rsid w:val="00785F37"/>
    <w:rsid w:val="00786755"/>
    <w:rsid w:val="00786D70"/>
    <w:rsid w:val="007876A3"/>
    <w:rsid w:val="00787DB2"/>
    <w:rsid w:val="00792723"/>
    <w:rsid w:val="00793674"/>
    <w:rsid w:val="007936EE"/>
    <w:rsid w:val="00793B90"/>
    <w:rsid w:val="00793FD5"/>
    <w:rsid w:val="00794489"/>
    <w:rsid w:val="0079468B"/>
    <w:rsid w:val="00794B2E"/>
    <w:rsid w:val="00797296"/>
    <w:rsid w:val="007972CB"/>
    <w:rsid w:val="00797768"/>
    <w:rsid w:val="007A00AE"/>
    <w:rsid w:val="007A07CD"/>
    <w:rsid w:val="007A0AAB"/>
    <w:rsid w:val="007A0B7C"/>
    <w:rsid w:val="007A1700"/>
    <w:rsid w:val="007A1B81"/>
    <w:rsid w:val="007A25DE"/>
    <w:rsid w:val="007A478F"/>
    <w:rsid w:val="007A4C71"/>
    <w:rsid w:val="007A529A"/>
    <w:rsid w:val="007A53F1"/>
    <w:rsid w:val="007A5E2E"/>
    <w:rsid w:val="007A5E41"/>
    <w:rsid w:val="007A7B9E"/>
    <w:rsid w:val="007B0EF6"/>
    <w:rsid w:val="007B1AD5"/>
    <w:rsid w:val="007B1BA3"/>
    <w:rsid w:val="007B2E62"/>
    <w:rsid w:val="007B3F6F"/>
    <w:rsid w:val="007B4138"/>
    <w:rsid w:val="007B5891"/>
    <w:rsid w:val="007B5B68"/>
    <w:rsid w:val="007B62E1"/>
    <w:rsid w:val="007B6488"/>
    <w:rsid w:val="007B6692"/>
    <w:rsid w:val="007B6AA8"/>
    <w:rsid w:val="007C28E7"/>
    <w:rsid w:val="007C2B60"/>
    <w:rsid w:val="007C2E01"/>
    <w:rsid w:val="007C31E8"/>
    <w:rsid w:val="007C369E"/>
    <w:rsid w:val="007C5A43"/>
    <w:rsid w:val="007D0645"/>
    <w:rsid w:val="007D1260"/>
    <w:rsid w:val="007D1516"/>
    <w:rsid w:val="007D2E4B"/>
    <w:rsid w:val="007D44AA"/>
    <w:rsid w:val="007D47DB"/>
    <w:rsid w:val="007D58E7"/>
    <w:rsid w:val="007E1BAB"/>
    <w:rsid w:val="007E231B"/>
    <w:rsid w:val="007E2E52"/>
    <w:rsid w:val="007E3838"/>
    <w:rsid w:val="007E460E"/>
    <w:rsid w:val="007E4E36"/>
    <w:rsid w:val="007E65A2"/>
    <w:rsid w:val="007E6748"/>
    <w:rsid w:val="007E7339"/>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4C30"/>
    <w:rsid w:val="00805792"/>
    <w:rsid w:val="00805942"/>
    <w:rsid w:val="008059D4"/>
    <w:rsid w:val="00806D99"/>
    <w:rsid w:val="0080726D"/>
    <w:rsid w:val="00807463"/>
    <w:rsid w:val="00810CFB"/>
    <w:rsid w:val="00811327"/>
    <w:rsid w:val="0081156A"/>
    <w:rsid w:val="00811CB5"/>
    <w:rsid w:val="0081303E"/>
    <w:rsid w:val="00813B58"/>
    <w:rsid w:val="0081494D"/>
    <w:rsid w:val="00814A1C"/>
    <w:rsid w:val="00815128"/>
    <w:rsid w:val="0081593C"/>
    <w:rsid w:val="00815D2B"/>
    <w:rsid w:val="00816585"/>
    <w:rsid w:val="008209E1"/>
    <w:rsid w:val="00821DD8"/>
    <w:rsid w:val="00822FEA"/>
    <w:rsid w:val="00823B06"/>
    <w:rsid w:val="00823EC8"/>
    <w:rsid w:val="008252AF"/>
    <w:rsid w:val="0082539A"/>
    <w:rsid w:val="0082795D"/>
    <w:rsid w:val="00827ABB"/>
    <w:rsid w:val="008311F7"/>
    <w:rsid w:val="00831A5B"/>
    <w:rsid w:val="00836C59"/>
    <w:rsid w:val="00837341"/>
    <w:rsid w:val="00841B69"/>
    <w:rsid w:val="00842049"/>
    <w:rsid w:val="008421EB"/>
    <w:rsid w:val="00842C8C"/>
    <w:rsid w:val="00842E60"/>
    <w:rsid w:val="00843C42"/>
    <w:rsid w:val="00844144"/>
    <w:rsid w:val="00844D51"/>
    <w:rsid w:val="008450E9"/>
    <w:rsid w:val="008461AA"/>
    <w:rsid w:val="008471F4"/>
    <w:rsid w:val="0084753B"/>
    <w:rsid w:val="00847577"/>
    <w:rsid w:val="00847EDF"/>
    <w:rsid w:val="00850981"/>
    <w:rsid w:val="008513CE"/>
    <w:rsid w:val="00852A4A"/>
    <w:rsid w:val="00852E72"/>
    <w:rsid w:val="00853B36"/>
    <w:rsid w:val="00853C6D"/>
    <w:rsid w:val="008548AF"/>
    <w:rsid w:val="00856834"/>
    <w:rsid w:val="008570EA"/>
    <w:rsid w:val="0086368B"/>
    <w:rsid w:val="0086780E"/>
    <w:rsid w:val="00872EDB"/>
    <w:rsid w:val="0088147C"/>
    <w:rsid w:val="008831B4"/>
    <w:rsid w:val="00887F56"/>
    <w:rsid w:val="00890083"/>
    <w:rsid w:val="00890CB7"/>
    <w:rsid w:val="0089192A"/>
    <w:rsid w:val="008920DC"/>
    <w:rsid w:val="00893232"/>
    <w:rsid w:val="00894558"/>
    <w:rsid w:val="008945C4"/>
    <w:rsid w:val="00894C8F"/>
    <w:rsid w:val="0089537A"/>
    <w:rsid w:val="00895451"/>
    <w:rsid w:val="00895C95"/>
    <w:rsid w:val="00896BF8"/>
    <w:rsid w:val="008A1098"/>
    <w:rsid w:val="008A1DDA"/>
    <w:rsid w:val="008A2D31"/>
    <w:rsid w:val="008A2E1E"/>
    <w:rsid w:val="008A34F8"/>
    <w:rsid w:val="008A5139"/>
    <w:rsid w:val="008A527B"/>
    <w:rsid w:val="008A55DA"/>
    <w:rsid w:val="008A5852"/>
    <w:rsid w:val="008A6779"/>
    <w:rsid w:val="008A776D"/>
    <w:rsid w:val="008A77A9"/>
    <w:rsid w:val="008B0B76"/>
    <w:rsid w:val="008B26C4"/>
    <w:rsid w:val="008B27CF"/>
    <w:rsid w:val="008B2C12"/>
    <w:rsid w:val="008B38A0"/>
    <w:rsid w:val="008B525B"/>
    <w:rsid w:val="008B75A5"/>
    <w:rsid w:val="008C05CE"/>
    <w:rsid w:val="008C1AE3"/>
    <w:rsid w:val="008C230A"/>
    <w:rsid w:val="008C25D9"/>
    <w:rsid w:val="008C29A0"/>
    <w:rsid w:val="008C2D99"/>
    <w:rsid w:val="008C3AD4"/>
    <w:rsid w:val="008C64DA"/>
    <w:rsid w:val="008C7BE8"/>
    <w:rsid w:val="008C7E74"/>
    <w:rsid w:val="008D10C3"/>
    <w:rsid w:val="008D4468"/>
    <w:rsid w:val="008D5135"/>
    <w:rsid w:val="008E149A"/>
    <w:rsid w:val="008E2453"/>
    <w:rsid w:val="008E3034"/>
    <w:rsid w:val="008E656D"/>
    <w:rsid w:val="008E769A"/>
    <w:rsid w:val="008E7A3B"/>
    <w:rsid w:val="008F0A4A"/>
    <w:rsid w:val="008F15EE"/>
    <w:rsid w:val="008F1724"/>
    <w:rsid w:val="008F1E81"/>
    <w:rsid w:val="008F21A7"/>
    <w:rsid w:val="008F33A5"/>
    <w:rsid w:val="008F36CE"/>
    <w:rsid w:val="008F4087"/>
    <w:rsid w:val="008F5351"/>
    <w:rsid w:val="008F6080"/>
    <w:rsid w:val="008F60E0"/>
    <w:rsid w:val="0090028D"/>
    <w:rsid w:val="00901088"/>
    <w:rsid w:val="00902F0A"/>
    <w:rsid w:val="00903BD0"/>
    <w:rsid w:val="00903FDA"/>
    <w:rsid w:val="0090590C"/>
    <w:rsid w:val="00905AAE"/>
    <w:rsid w:val="009063C6"/>
    <w:rsid w:val="00906D9A"/>
    <w:rsid w:val="00907532"/>
    <w:rsid w:val="00912BD5"/>
    <w:rsid w:val="00914A1E"/>
    <w:rsid w:val="00915A70"/>
    <w:rsid w:val="009201D8"/>
    <w:rsid w:val="00921153"/>
    <w:rsid w:val="009215DC"/>
    <w:rsid w:val="00921EDC"/>
    <w:rsid w:val="00924D5E"/>
    <w:rsid w:val="00925B85"/>
    <w:rsid w:val="00926369"/>
    <w:rsid w:val="00926FC8"/>
    <w:rsid w:val="00927BFA"/>
    <w:rsid w:val="00930070"/>
    <w:rsid w:val="009302EC"/>
    <w:rsid w:val="00932FD5"/>
    <w:rsid w:val="00933E0E"/>
    <w:rsid w:val="009341D3"/>
    <w:rsid w:val="00934A27"/>
    <w:rsid w:val="00935B30"/>
    <w:rsid w:val="009361E4"/>
    <w:rsid w:val="00936371"/>
    <w:rsid w:val="00936AC9"/>
    <w:rsid w:val="00937021"/>
    <w:rsid w:val="0093745D"/>
    <w:rsid w:val="0094064C"/>
    <w:rsid w:val="009421FD"/>
    <w:rsid w:val="00943A26"/>
    <w:rsid w:val="00950D6A"/>
    <w:rsid w:val="009520A0"/>
    <w:rsid w:val="00952EB0"/>
    <w:rsid w:val="00953385"/>
    <w:rsid w:val="009533E4"/>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F62"/>
    <w:rsid w:val="00970673"/>
    <w:rsid w:val="00971BA1"/>
    <w:rsid w:val="00972DC5"/>
    <w:rsid w:val="00973D1B"/>
    <w:rsid w:val="009742D3"/>
    <w:rsid w:val="009756FA"/>
    <w:rsid w:val="0097674F"/>
    <w:rsid w:val="00976F14"/>
    <w:rsid w:val="00977721"/>
    <w:rsid w:val="00977729"/>
    <w:rsid w:val="009800BB"/>
    <w:rsid w:val="0098090C"/>
    <w:rsid w:val="009810DD"/>
    <w:rsid w:val="00981F2E"/>
    <w:rsid w:val="00990965"/>
    <w:rsid w:val="00990BFA"/>
    <w:rsid w:val="00991109"/>
    <w:rsid w:val="00991471"/>
    <w:rsid w:val="00992B7B"/>
    <w:rsid w:val="009936F6"/>
    <w:rsid w:val="0099588B"/>
    <w:rsid w:val="009969E7"/>
    <w:rsid w:val="009A03E1"/>
    <w:rsid w:val="009A0AFB"/>
    <w:rsid w:val="009A0CB1"/>
    <w:rsid w:val="009A0EB3"/>
    <w:rsid w:val="009A1D7C"/>
    <w:rsid w:val="009A20BF"/>
    <w:rsid w:val="009A2626"/>
    <w:rsid w:val="009A3C17"/>
    <w:rsid w:val="009A4482"/>
    <w:rsid w:val="009A5EDE"/>
    <w:rsid w:val="009A69D8"/>
    <w:rsid w:val="009B0F42"/>
    <w:rsid w:val="009B1763"/>
    <w:rsid w:val="009B25CC"/>
    <w:rsid w:val="009B52C2"/>
    <w:rsid w:val="009B65B7"/>
    <w:rsid w:val="009C152C"/>
    <w:rsid w:val="009C1DC6"/>
    <w:rsid w:val="009C2684"/>
    <w:rsid w:val="009C27F7"/>
    <w:rsid w:val="009C2A36"/>
    <w:rsid w:val="009C2F13"/>
    <w:rsid w:val="009C3568"/>
    <w:rsid w:val="009C5AE2"/>
    <w:rsid w:val="009C7577"/>
    <w:rsid w:val="009C7B57"/>
    <w:rsid w:val="009D004E"/>
    <w:rsid w:val="009D067F"/>
    <w:rsid w:val="009D0D90"/>
    <w:rsid w:val="009D12AC"/>
    <w:rsid w:val="009D15E2"/>
    <w:rsid w:val="009D205F"/>
    <w:rsid w:val="009D34AE"/>
    <w:rsid w:val="009D36ED"/>
    <w:rsid w:val="009D5870"/>
    <w:rsid w:val="009D5E9B"/>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7717"/>
    <w:rsid w:val="00A0017A"/>
    <w:rsid w:val="00A006A5"/>
    <w:rsid w:val="00A006B0"/>
    <w:rsid w:val="00A01A2C"/>
    <w:rsid w:val="00A03A36"/>
    <w:rsid w:val="00A03D34"/>
    <w:rsid w:val="00A05625"/>
    <w:rsid w:val="00A05B31"/>
    <w:rsid w:val="00A10220"/>
    <w:rsid w:val="00A12287"/>
    <w:rsid w:val="00A12870"/>
    <w:rsid w:val="00A12B54"/>
    <w:rsid w:val="00A1480F"/>
    <w:rsid w:val="00A14B1D"/>
    <w:rsid w:val="00A1701E"/>
    <w:rsid w:val="00A17B72"/>
    <w:rsid w:val="00A20A66"/>
    <w:rsid w:val="00A21694"/>
    <w:rsid w:val="00A228AE"/>
    <w:rsid w:val="00A22FFD"/>
    <w:rsid w:val="00A241CA"/>
    <w:rsid w:val="00A2463A"/>
    <w:rsid w:val="00A25D02"/>
    <w:rsid w:val="00A26269"/>
    <w:rsid w:val="00A267FF"/>
    <w:rsid w:val="00A26882"/>
    <w:rsid w:val="00A27561"/>
    <w:rsid w:val="00A308A2"/>
    <w:rsid w:val="00A31657"/>
    <w:rsid w:val="00A32174"/>
    <w:rsid w:val="00A326B7"/>
    <w:rsid w:val="00A32801"/>
    <w:rsid w:val="00A329F1"/>
    <w:rsid w:val="00A35BEB"/>
    <w:rsid w:val="00A36582"/>
    <w:rsid w:val="00A40799"/>
    <w:rsid w:val="00A40B8E"/>
    <w:rsid w:val="00A40E43"/>
    <w:rsid w:val="00A415E9"/>
    <w:rsid w:val="00A416B8"/>
    <w:rsid w:val="00A44057"/>
    <w:rsid w:val="00A45CF3"/>
    <w:rsid w:val="00A472F2"/>
    <w:rsid w:val="00A47411"/>
    <w:rsid w:val="00A47E9C"/>
    <w:rsid w:val="00A5015A"/>
    <w:rsid w:val="00A50378"/>
    <w:rsid w:val="00A50B73"/>
    <w:rsid w:val="00A50F14"/>
    <w:rsid w:val="00A51CC3"/>
    <w:rsid w:val="00A5224C"/>
    <w:rsid w:val="00A5254E"/>
    <w:rsid w:val="00A529B9"/>
    <w:rsid w:val="00A54354"/>
    <w:rsid w:val="00A54D45"/>
    <w:rsid w:val="00A54EF4"/>
    <w:rsid w:val="00A5501D"/>
    <w:rsid w:val="00A55059"/>
    <w:rsid w:val="00A563F4"/>
    <w:rsid w:val="00A60449"/>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E1A"/>
    <w:rsid w:val="00A752B2"/>
    <w:rsid w:val="00A76A99"/>
    <w:rsid w:val="00A76F02"/>
    <w:rsid w:val="00A80AB9"/>
    <w:rsid w:val="00A816CD"/>
    <w:rsid w:val="00A846F4"/>
    <w:rsid w:val="00A847C9"/>
    <w:rsid w:val="00A85B83"/>
    <w:rsid w:val="00A86A5A"/>
    <w:rsid w:val="00A86DC6"/>
    <w:rsid w:val="00A87579"/>
    <w:rsid w:val="00A916B1"/>
    <w:rsid w:val="00A944AE"/>
    <w:rsid w:val="00A946C0"/>
    <w:rsid w:val="00A94C1C"/>
    <w:rsid w:val="00A955C8"/>
    <w:rsid w:val="00A96390"/>
    <w:rsid w:val="00A978DB"/>
    <w:rsid w:val="00A97B28"/>
    <w:rsid w:val="00AA405D"/>
    <w:rsid w:val="00AA49B6"/>
    <w:rsid w:val="00AA5833"/>
    <w:rsid w:val="00AA64C2"/>
    <w:rsid w:val="00AA6E04"/>
    <w:rsid w:val="00AA73E7"/>
    <w:rsid w:val="00AB16F2"/>
    <w:rsid w:val="00AB1BEF"/>
    <w:rsid w:val="00AB1EAF"/>
    <w:rsid w:val="00AB3107"/>
    <w:rsid w:val="00AB4978"/>
    <w:rsid w:val="00AB4D7A"/>
    <w:rsid w:val="00AB5352"/>
    <w:rsid w:val="00AB7001"/>
    <w:rsid w:val="00AB7254"/>
    <w:rsid w:val="00AB733F"/>
    <w:rsid w:val="00AC0449"/>
    <w:rsid w:val="00AC0A7D"/>
    <w:rsid w:val="00AC1593"/>
    <w:rsid w:val="00AC5270"/>
    <w:rsid w:val="00AC5C5E"/>
    <w:rsid w:val="00AC634D"/>
    <w:rsid w:val="00AD074A"/>
    <w:rsid w:val="00AD1111"/>
    <w:rsid w:val="00AD1890"/>
    <w:rsid w:val="00AD235B"/>
    <w:rsid w:val="00AD2A1D"/>
    <w:rsid w:val="00AD30F0"/>
    <w:rsid w:val="00AD3DF4"/>
    <w:rsid w:val="00AD467E"/>
    <w:rsid w:val="00AD4FB9"/>
    <w:rsid w:val="00AD5F0B"/>
    <w:rsid w:val="00AD7998"/>
    <w:rsid w:val="00AE13B1"/>
    <w:rsid w:val="00AE26AE"/>
    <w:rsid w:val="00AE3ABB"/>
    <w:rsid w:val="00AE42CF"/>
    <w:rsid w:val="00AE443F"/>
    <w:rsid w:val="00AE560C"/>
    <w:rsid w:val="00AE586A"/>
    <w:rsid w:val="00AE5C6A"/>
    <w:rsid w:val="00AF2154"/>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523C"/>
    <w:rsid w:val="00B259CF"/>
    <w:rsid w:val="00B260CD"/>
    <w:rsid w:val="00B26DA9"/>
    <w:rsid w:val="00B273FA"/>
    <w:rsid w:val="00B310FA"/>
    <w:rsid w:val="00B31705"/>
    <w:rsid w:val="00B31889"/>
    <w:rsid w:val="00B333B4"/>
    <w:rsid w:val="00B33B6E"/>
    <w:rsid w:val="00B34ECE"/>
    <w:rsid w:val="00B34F87"/>
    <w:rsid w:val="00B34FBC"/>
    <w:rsid w:val="00B35017"/>
    <w:rsid w:val="00B365B6"/>
    <w:rsid w:val="00B40AEA"/>
    <w:rsid w:val="00B421E1"/>
    <w:rsid w:val="00B42676"/>
    <w:rsid w:val="00B43362"/>
    <w:rsid w:val="00B43699"/>
    <w:rsid w:val="00B4378A"/>
    <w:rsid w:val="00B4426A"/>
    <w:rsid w:val="00B45A91"/>
    <w:rsid w:val="00B471A0"/>
    <w:rsid w:val="00B474CE"/>
    <w:rsid w:val="00B47C25"/>
    <w:rsid w:val="00B47E81"/>
    <w:rsid w:val="00B50B3C"/>
    <w:rsid w:val="00B515BB"/>
    <w:rsid w:val="00B51FD6"/>
    <w:rsid w:val="00B5321B"/>
    <w:rsid w:val="00B53953"/>
    <w:rsid w:val="00B53FE5"/>
    <w:rsid w:val="00B546ED"/>
    <w:rsid w:val="00B549AB"/>
    <w:rsid w:val="00B57570"/>
    <w:rsid w:val="00B602CD"/>
    <w:rsid w:val="00B61780"/>
    <w:rsid w:val="00B62278"/>
    <w:rsid w:val="00B6472D"/>
    <w:rsid w:val="00B64FE5"/>
    <w:rsid w:val="00B6507C"/>
    <w:rsid w:val="00B667E9"/>
    <w:rsid w:val="00B66AB3"/>
    <w:rsid w:val="00B66AFA"/>
    <w:rsid w:val="00B67347"/>
    <w:rsid w:val="00B67B45"/>
    <w:rsid w:val="00B700C4"/>
    <w:rsid w:val="00B70518"/>
    <w:rsid w:val="00B70973"/>
    <w:rsid w:val="00B70D9B"/>
    <w:rsid w:val="00B71D25"/>
    <w:rsid w:val="00B7224A"/>
    <w:rsid w:val="00B72657"/>
    <w:rsid w:val="00B72DF5"/>
    <w:rsid w:val="00B73120"/>
    <w:rsid w:val="00B74343"/>
    <w:rsid w:val="00B75E19"/>
    <w:rsid w:val="00B7605E"/>
    <w:rsid w:val="00B769E1"/>
    <w:rsid w:val="00B76F4A"/>
    <w:rsid w:val="00B77684"/>
    <w:rsid w:val="00B77937"/>
    <w:rsid w:val="00B80800"/>
    <w:rsid w:val="00B812CB"/>
    <w:rsid w:val="00B82493"/>
    <w:rsid w:val="00B82E2F"/>
    <w:rsid w:val="00B83EBA"/>
    <w:rsid w:val="00B8517E"/>
    <w:rsid w:val="00B85C66"/>
    <w:rsid w:val="00B8666D"/>
    <w:rsid w:val="00B8667F"/>
    <w:rsid w:val="00B867B8"/>
    <w:rsid w:val="00B870A8"/>
    <w:rsid w:val="00B903BB"/>
    <w:rsid w:val="00B903ED"/>
    <w:rsid w:val="00B90859"/>
    <w:rsid w:val="00B914F5"/>
    <w:rsid w:val="00B9162A"/>
    <w:rsid w:val="00B9164F"/>
    <w:rsid w:val="00B92421"/>
    <w:rsid w:val="00B92D50"/>
    <w:rsid w:val="00B9304E"/>
    <w:rsid w:val="00B937AE"/>
    <w:rsid w:val="00B942EA"/>
    <w:rsid w:val="00B94442"/>
    <w:rsid w:val="00B947F3"/>
    <w:rsid w:val="00B9549A"/>
    <w:rsid w:val="00B95AB0"/>
    <w:rsid w:val="00B966C3"/>
    <w:rsid w:val="00BA1117"/>
    <w:rsid w:val="00BA15AA"/>
    <w:rsid w:val="00BA1794"/>
    <w:rsid w:val="00BA1BAD"/>
    <w:rsid w:val="00BA1CD0"/>
    <w:rsid w:val="00BA2B81"/>
    <w:rsid w:val="00BA2BF6"/>
    <w:rsid w:val="00BA494F"/>
    <w:rsid w:val="00BA60DF"/>
    <w:rsid w:val="00BA78D2"/>
    <w:rsid w:val="00BB0E56"/>
    <w:rsid w:val="00BB1174"/>
    <w:rsid w:val="00BB11FE"/>
    <w:rsid w:val="00BB14EC"/>
    <w:rsid w:val="00BB1DD6"/>
    <w:rsid w:val="00BB23B9"/>
    <w:rsid w:val="00BB24EA"/>
    <w:rsid w:val="00BB3ACC"/>
    <w:rsid w:val="00BB3FFC"/>
    <w:rsid w:val="00BB42C6"/>
    <w:rsid w:val="00BB450F"/>
    <w:rsid w:val="00BB465E"/>
    <w:rsid w:val="00BB66C7"/>
    <w:rsid w:val="00BB6D3D"/>
    <w:rsid w:val="00BB72C9"/>
    <w:rsid w:val="00BB7FB8"/>
    <w:rsid w:val="00BC0F12"/>
    <w:rsid w:val="00BC29CD"/>
    <w:rsid w:val="00BC32D8"/>
    <w:rsid w:val="00BC423E"/>
    <w:rsid w:val="00BC479B"/>
    <w:rsid w:val="00BC48AC"/>
    <w:rsid w:val="00BC4A20"/>
    <w:rsid w:val="00BC534B"/>
    <w:rsid w:val="00BC5614"/>
    <w:rsid w:val="00BC722B"/>
    <w:rsid w:val="00BC76A1"/>
    <w:rsid w:val="00BD0FBE"/>
    <w:rsid w:val="00BD349E"/>
    <w:rsid w:val="00BD3704"/>
    <w:rsid w:val="00BD416F"/>
    <w:rsid w:val="00BE0AE0"/>
    <w:rsid w:val="00BE15FB"/>
    <w:rsid w:val="00BE17E2"/>
    <w:rsid w:val="00BE2DD9"/>
    <w:rsid w:val="00BE2E57"/>
    <w:rsid w:val="00BE3E41"/>
    <w:rsid w:val="00BE518E"/>
    <w:rsid w:val="00BE6A2F"/>
    <w:rsid w:val="00BE723B"/>
    <w:rsid w:val="00BE76A7"/>
    <w:rsid w:val="00BF0324"/>
    <w:rsid w:val="00BF1AEC"/>
    <w:rsid w:val="00BF1B8C"/>
    <w:rsid w:val="00BF366D"/>
    <w:rsid w:val="00BF4DB4"/>
    <w:rsid w:val="00C002FA"/>
    <w:rsid w:val="00C02B24"/>
    <w:rsid w:val="00C02F54"/>
    <w:rsid w:val="00C03642"/>
    <w:rsid w:val="00C04491"/>
    <w:rsid w:val="00C04512"/>
    <w:rsid w:val="00C04D4A"/>
    <w:rsid w:val="00C05480"/>
    <w:rsid w:val="00C06FF7"/>
    <w:rsid w:val="00C07C03"/>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180C"/>
    <w:rsid w:val="00C21A4C"/>
    <w:rsid w:val="00C21C75"/>
    <w:rsid w:val="00C240CD"/>
    <w:rsid w:val="00C26302"/>
    <w:rsid w:val="00C26474"/>
    <w:rsid w:val="00C277B1"/>
    <w:rsid w:val="00C308E5"/>
    <w:rsid w:val="00C3242E"/>
    <w:rsid w:val="00C33B5F"/>
    <w:rsid w:val="00C3554D"/>
    <w:rsid w:val="00C35E7A"/>
    <w:rsid w:val="00C362B9"/>
    <w:rsid w:val="00C37B5C"/>
    <w:rsid w:val="00C37F90"/>
    <w:rsid w:val="00C401FA"/>
    <w:rsid w:val="00C417F3"/>
    <w:rsid w:val="00C41D5A"/>
    <w:rsid w:val="00C42F49"/>
    <w:rsid w:val="00C43045"/>
    <w:rsid w:val="00C43111"/>
    <w:rsid w:val="00C43CAF"/>
    <w:rsid w:val="00C44275"/>
    <w:rsid w:val="00C453A1"/>
    <w:rsid w:val="00C46860"/>
    <w:rsid w:val="00C469A8"/>
    <w:rsid w:val="00C47849"/>
    <w:rsid w:val="00C478A5"/>
    <w:rsid w:val="00C502CF"/>
    <w:rsid w:val="00C50DB1"/>
    <w:rsid w:val="00C50DB7"/>
    <w:rsid w:val="00C51427"/>
    <w:rsid w:val="00C521A5"/>
    <w:rsid w:val="00C54E17"/>
    <w:rsid w:val="00C553B8"/>
    <w:rsid w:val="00C55D9D"/>
    <w:rsid w:val="00C5746E"/>
    <w:rsid w:val="00C57C42"/>
    <w:rsid w:val="00C60956"/>
    <w:rsid w:val="00C60CC4"/>
    <w:rsid w:val="00C619DC"/>
    <w:rsid w:val="00C61BEA"/>
    <w:rsid w:val="00C61EC0"/>
    <w:rsid w:val="00C6388A"/>
    <w:rsid w:val="00C64AE4"/>
    <w:rsid w:val="00C64F60"/>
    <w:rsid w:val="00C6518B"/>
    <w:rsid w:val="00C65C15"/>
    <w:rsid w:val="00C66919"/>
    <w:rsid w:val="00C70422"/>
    <w:rsid w:val="00C70A65"/>
    <w:rsid w:val="00C710AE"/>
    <w:rsid w:val="00C717CF"/>
    <w:rsid w:val="00C7268C"/>
    <w:rsid w:val="00C72C78"/>
    <w:rsid w:val="00C73E9E"/>
    <w:rsid w:val="00C758CC"/>
    <w:rsid w:val="00C763C0"/>
    <w:rsid w:val="00C76755"/>
    <w:rsid w:val="00C76F6A"/>
    <w:rsid w:val="00C804E5"/>
    <w:rsid w:val="00C80831"/>
    <w:rsid w:val="00C84771"/>
    <w:rsid w:val="00C84E86"/>
    <w:rsid w:val="00C84ED5"/>
    <w:rsid w:val="00C84FC9"/>
    <w:rsid w:val="00C869C6"/>
    <w:rsid w:val="00C86C25"/>
    <w:rsid w:val="00C86D23"/>
    <w:rsid w:val="00C86F0D"/>
    <w:rsid w:val="00C87290"/>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6EA"/>
    <w:rsid w:val="00CA0059"/>
    <w:rsid w:val="00CA3F7E"/>
    <w:rsid w:val="00CA4AAC"/>
    <w:rsid w:val="00CA5849"/>
    <w:rsid w:val="00CA6BDD"/>
    <w:rsid w:val="00CA6DC4"/>
    <w:rsid w:val="00CA76F0"/>
    <w:rsid w:val="00CA7ED9"/>
    <w:rsid w:val="00CB02D0"/>
    <w:rsid w:val="00CB0CA8"/>
    <w:rsid w:val="00CB0D88"/>
    <w:rsid w:val="00CB14B6"/>
    <w:rsid w:val="00CB1668"/>
    <w:rsid w:val="00CB4EBE"/>
    <w:rsid w:val="00CB58C7"/>
    <w:rsid w:val="00CB5F2B"/>
    <w:rsid w:val="00CB608C"/>
    <w:rsid w:val="00CB6913"/>
    <w:rsid w:val="00CB7358"/>
    <w:rsid w:val="00CB7F0B"/>
    <w:rsid w:val="00CC2C33"/>
    <w:rsid w:val="00CC2EA3"/>
    <w:rsid w:val="00CC433E"/>
    <w:rsid w:val="00CC59AB"/>
    <w:rsid w:val="00CC5F8C"/>
    <w:rsid w:val="00CC6FFF"/>
    <w:rsid w:val="00CC72CE"/>
    <w:rsid w:val="00CD0370"/>
    <w:rsid w:val="00CD0DA5"/>
    <w:rsid w:val="00CD11A1"/>
    <w:rsid w:val="00CD12ED"/>
    <w:rsid w:val="00CD1338"/>
    <w:rsid w:val="00CD1618"/>
    <w:rsid w:val="00CD1BF2"/>
    <w:rsid w:val="00CD23E5"/>
    <w:rsid w:val="00CD277B"/>
    <w:rsid w:val="00CD362E"/>
    <w:rsid w:val="00CD52CA"/>
    <w:rsid w:val="00CD5AB5"/>
    <w:rsid w:val="00CD63EC"/>
    <w:rsid w:val="00CD65EE"/>
    <w:rsid w:val="00CD6C27"/>
    <w:rsid w:val="00CD739F"/>
    <w:rsid w:val="00CD75F8"/>
    <w:rsid w:val="00CE260E"/>
    <w:rsid w:val="00CE2624"/>
    <w:rsid w:val="00CE3921"/>
    <w:rsid w:val="00CE549E"/>
    <w:rsid w:val="00CE55F1"/>
    <w:rsid w:val="00CE5E19"/>
    <w:rsid w:val="00CE6579"/>
    <w:rsid w:val="00CE69E8"/>
    <w:rsid w:val="00CE6A3B"/>
    <w:rsid w:val="00CE7B9E"/>
    <w:rsid w:val="00CE7F79"/>
    <w:rsid w:val="00CF009C"/>
    <w:rsid w:val="00CF02C9"/>
    <w:rsid w:val="00CF2BA3"/>
    <w:rsid w:val="00CF32E5"/>
    <w:rsid w:val="00CF33A1"/>
    <w:rsid w:val="00CF34EF"/>
    <w:rsid w:val="00CF4D17"/>
    <w:rsid w:val="00CF4DA5"/>
    <w:rsid w:val="00CF51AD"/>
    <w:rsid w:val="00CF6A58"/>
    <w:rsid w:val="00D01910"/>
    <w:rsid w:val="00D01F7B"/>
    <w:rsid w:val="00D02799"/>
    <w:rsid w:val="00D02E1A"/>
    <w:rsid w:val="00D02EB2"/>
    <w:rsid w:val="00D0327C"/>
    <w:rsid w:val="00D04367"/>
    <w:rsid w:val="00D04B8D"/>
    <w:rsid w:val="00D057B9"/>
    <w:rsid w:val="00D05DF7"/>
    <w:rsid w:val="00D0638B"/>
    <w:rsid w:val="00D06861"/>
    <w:rsid w:val="00D10F1F"/>
    <w:rsid w:val="00D10FF5"/>
    <w:rsid w:val="00D11AAF"/>
    <w:rsid w:val="00D12170"/>
    <w:rsid w:val="00D13410"/>
    <w:rsid w:val="00D135FD"/>
    <w:rsid w:val="00D149EE"/>
    <w:rsid w:val="00D15163"/>
    <w:rsid w:val="00D157A8"/>
    <w:rsid w:val="00D15F5E"/>
    <w:rsid w:val="00D160B3"/>
    <w:rsid w:val="00D16B7F"/>
    <w:rsid w:val="00D171F9"/>
    <w:rsid w:val="00D2072A"/>
    <w:rsid w:val="00D216B8"/>
    <w:rsid w:val="00D2187F"/>
    <w:rsid w:val="00D21E91"/>
    <w:rsid w:val="00D23CC8"/>
    <w:rsid w:val="00D24257"/>
    <w:rsid w:val="00D24430"/>
    <w:rsid w:val="00D245E2"/>
    <w:rsid w:val="00D24ED3"/>
    <w:rsid w:val="00D26523"/>
    <w:rsid w:val="00D274CF"/>
    <w:rsid w:val="00D30658"/>
    <w:rsid w:val="00D3097F"/>
    <w:rsid w:val="00D31267"/>
    <w:rsid w:val="00D317CF"/>
    <w:rsid w:val="00D31B88"/>
    <w:rsid w:val="00D32504"/>
    <w:rsid w:val="00D34009"/>
    <w:rsid w:val="00D3498F"/>
    <w:rsid w:val="00D360F2"/>
    <w:rsid w:val="00D36632"/>
    <w:rsid w:val="00D37DA3"/>
    <w:rsid w:val="00D41231"/>
    <w:rsid w:val="00D41387"/>
    <w:rsid w:val="00D4160C"/>
    <w:rsid w:val="00D41944"/>
    <w:rsid w:val="00D41AA0"/>
    <w:rsid w:val="00D423B3"/>
    <w:rsid w:val="00D4382F"/>
    <w:rsid w:val="00D45261"/>
    <w:rsid w:val="00D46F2D"/>
    <w:rsid w:val="00D51D92"/>
    <w:rsid w:val="00D525E8"/>
    <w:rsid w:val="00D52B47"/>
    <w:rsid w:val="00D5397F"/>
    <w:rsid w:val="00D53BBD"/>
    <w:rsid w:val="00D53D03"/>
    <w:rsid w:val="00D55206"/>
    <w:rsid w:val="00D5526D"/>
    <w:rsid w:val="00D55ABE"/>
    <w:rsid w:val="00D56E86"/>
    <w:rsid w:val="00D57CF3"/>
    <w:rsid w:val="00D609DD"/>
    <w:rsid w:val="00D60F04"/>
    <w:rsid w:val="00D6147C"/>
    <w:rsid w:val="00D6155F"/>
    <w:rsid w:val="00D63E66"/>
    <w:rsid w:val="00D64F7D"/>
    <w:rsid w:val="00D66117"/>
    <w:rsid w:val="00D6688E"/>
    <w:rsid w:val="00D670E1"/>
    <w:rsid w:val="00D70D72"/>
    <w:rsid w:val="00D71109"/>
    <w:rsid w:val="00D71A1F"/>
    <w:rsid w:val="00D71E0E"/>
    <w:rsid w:val="00D720BD"/>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370C"/>
    <w:rsid w:val="00D839B2"/>
    <w:rsid w:val="00D8404B"/>
    <w:rsid w:val="00D84A29"/>
    <w:rsid w:val="00D84DBB"/>
    <w:rsid w:val="00D86882"/>
    <w:rsid w:val="00D90B5E"/>
    <w:rsid w:val="00D90C3D"/>
    <w:rsid w:val="00D90DE5"/>
    <w:rsid w:val="00D91888"/>
    <w:rsid w:val="00D92386"/>
    <w:rsid w:val="00D945F2"/>
    <w:rsid w:val="00D945FC"/>
    <w:rsid w:val="00D947FE"/>
    <w:rsid w:val="00D948AF"/>
    <w:rsid w:val="00D94CF4"/>
    <w:rsid w:val="00D94ED9"/>
    <w:rsid w:val="00D95F0A"/>
    <w:rsid w:val="00D96404"/>
    <w:rsid w:val="00D96446"/>
    <w:rsid w:val="00D96C0A"/>
    <w:rsid w:val="00D96D59"/>
    <w:rsid w:val="00DA09A2"/>
    <w:rsid w:val="00DA1646"/>
    <w:rsid w:val="00DA1AC7"/>
    <w:rsid w:val="00DA271A"/>
    <w:rsid w:val="00DA274A"/>
    <w:rsid w:val="00DA2961"/>
    <w:rsid w:val="00DA29C0"/>
    <w:rsid w:val="00DA3476"/>
    <w:rsid w:val="00DA3915"/>
    <w:rsid w:val="00DA405B"/>
    <w:rsid w:val="00DA440B"/>
    <w:rsid w:val="00DA4B5A"/>
    <w:rsid w:val="00DA4CD8"/>
    <w:rsid w:val="00DA5644"/>
    <w:rsid w:val="00DA6AC5"/>
    <w:rsid w:val="00DA7298"/>
    <w:rsid w:val="00DB0746"/>
    <w:rsid w:val="00DB199E"/>
    <w:rsid w:val="00DB1E7A"/>
    <w:rsid w:val="00DB20E9"/>
    <w:rsid w:val="00DB2C17"/>
    <w:rsid w:val="00DB3080"/>
    <w:rsid w:val="00DB3B97"/>
    <w:rsid w:val="00DB4230"/>
    <w:rsid w:val="00DB6212"/>
    <w:rsid w:val="00DB62D5"/>
    <w:rsid w:val="00DB7931"/>
    <w:rsid w:val="00DB7B44"/>
    <w:rsid w:val="00DB7B77"/>
    <w:rsid w:val="00DC13F5"/>
    <w:rsid w:val="00DC15DD"/>
    <w:rsid w:val="00DC2960"/>
    <w:rsid w:val="00DC2AD1"/>
    <w:rsid w:val="00DC3B8C"/>
    <w:rsid w:val="00DC4AF0"/>
    <w:rsid w:val="00DC5837"/>
    <w:rsid w:val="00DC5914"/>
    <w:rsid w:val="00DC64D5"/>
    <w:rsid w:val="00DC7584"/>
    <w:rsid w:val="00DC7A71"/>
    <w:rsid w:val="00DC7CBA"/>
    <w:rsid w:val="00DD18E1"/>
    <w:rsid w:val="00DD30DC"/>
    <w:rsid w:val="00DD365B"/>
    <w:rsid w:val="00DD4584"/>
    <w:rsid w:val="00DD49DC"/>
    <w:rsid w:val="00DD4B16"/>
    <w:rsid w:val="00DD616B"/>
    <w:rsid w:val="00DD72A6"/>
    <w:rsid w:val="00DD79BF"/>
    <w:rsid w:val="00DD7B19"/>
    <w:rsid w:val="00DE05BF"/>
    <w:rsid w:val="00DE2E1A"/>
    <w:rsid w:val="00DE42C6"/>
    <w:rsid w:val="00DE4A64"/>
    <w:rsid w:val="00DE4FE9"/>
    <w:rsid w:val="00DE52E3"/>
    <w:rsid w:val="00DE5B29"/>
    <w:rsid w:val="00DE5D44"/>
    <w:rsid w:val="00DE60B8"/>
    <w:rsid w:val="00DE6C05"/>
    <w:rsid w:val="00DE722C"/>
    <w:rsid w:val="00DE7627"/>
    <w:rsid w:val="00DE7C55"/>
    <w:rsid w:val="00DE7E68"/>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B33"/>
    <w:rsid w:val="00E26FEC"/>
    <w:rsid w:val="00E27111"/>
    <w:rsid w:val="00E27D44"/>
    <w:rsid w:val="00E32208"/>
    <w:rsid w:val="00E32569"/>
    <w:rsid w:val="00E32A34"/>
    <w:rsid w:val="00E33985"/>
    <w:rsid w:val="00E33EDA"/>
    <w:rsid w:val="00E349C8"/>
    <w:rsid w:val="00E34A2E"/>
    <w:rsid w:val="00E35B10"/>
    <w:rsid w:val="00E36E09"/>
    <w:rsid w:val="00E3760B"/>
    <w:rsid w:val="00E408E6"/>
    <w:rsid w:val="00E41FA6"/>
    <w:rsid w:val="00E436F9"/>
    <w:rsid w:val="00E43C61"/>
    <w:rsid w:val="00E4475C"/>
    <w:rsid w:val="00E4479C"/>
    <w:rsid w:val="00E451CC"/>
    <w:rsid w:val="00E458BE"/>
    <w:rsid w:val="00E46B09"/>
    <w:rsid w:val="00E50358"/>
    <w:rsid w:val="00E522CA"/>
    <w:rsid w:val="00E53A3D"/>
    <w:rsid w:val="00E552D8"/>
    <w:rsid w:val="00E55F7C"/>
    <w:rsid w:val="00E57937"/>
    <w:rsid w:val="00E6008C"/>
    <w:rsid w:val="00E60B9E"/>
    <w:rsid w:val="00E6181A"/>
    <w:rsid w:val="00E62CAF"/>
    <w:rsid w:val="00E62E41"/>
    <w:rsid w:val="00E640D4"/>
    <w:rsid w:val="00E64C46"/>
    <w:rsid w:val="00E66B02"/>
    <w:rsid w:val="00E671B9"/>
    <w:rsid w:val="00E67BEF"/>
    <w:rsid w:val="00E67C47"/>
    <w:rsid w:val="00E6A973"/>
    <w:rsid w:val="00E70754"/>
    <w:rsid w:val="00E70889"/>
    <w:rsid w:val="00E72DAF"/>
    <w:rsid w:val="00E7338A"/>
    <w:rsid w:val="00E735C2"/>
    <w:rsid w:val="00E738C5"/>
    <w:rsid w:val="00E73CD1"/>
    <w:rsid w:val="00E75A9A"/>
    <w:rsid w:val="00E75FF7"/>
    <w:rsid w:val="00E76849"/>
    <w:rsid w:val="00E77DD1"/>
    <w:rsid w:val="00E80F67"/>
    <w:rsid w:val="00E8155A"/>
    <w:rsid w:val="00E818BF"/>
    <w:rsid w:val="00E8243D"/>
    <w:rsid w:val="00E83732"/>
    <w:rsid w:val="00E837A2"/>
    <w:rsid w:val="00E837C3"/>
    <w:rsid w:val="00E83BFE"/>
    <w:rsid w:val="00E83CAD"/>
    <w:rsid w:val="00E84C25"/>
    <w:rsid w:val="00E84D76"/>
    <w:rsid w:val="00E85544"/>
    <w:rsid w:val="00E860BA"/>
    <w:rsid w:val="00E86F57"/>
    <w:rsid w:val="00E87030"/>
    <w:rsid w:val="00E87A4D"/>
    <w:rsid w:val="00E87AF9"/>
    <w:rsid w:val="00E91D96"/>
    <w:rsid w:val="00E91DB0"/>
    <w:rsid w:val="00E9310D"/>
    <w:rsid w:val="00E93B79"/>
    <w:rsid w:val="00E93B89"/>
    <w:rsid w:val="00E9575E"/>
    <w:rsid w:val="00EA0142"/>
    <w:rsid w:val="00EA0454"/>
    <w:rsid w:val="00EA0A4E"/>
    <w:rsid w:val="00EA0C57"/>
    <w:rsid w:val="00EA1E56"/>
    <w:rsid w:val="00EA3B0C"/>
    <w:rsid w:val="00EA6E53"/>
    <w:rsid w:val="00EA7682"/>
    <w:rsid w:val="00EB003C"/>
    <w:rsid w:val="00EB040B"/>
    <w:rsid w:val="00EB13DB"/>
    <w:rsid w:val="00EB2591"/>
    <w:rsid w:val="00EB320B"/>
    <w:rsid w:val="00EB3ACF"/>
    <w:rsid w:val="00EB3F17"/>
    <w:rsid w:val="00EB4BC4"/>
    <w:rsid w:val="00EB51DB"/>
    <w:rsid w:val="00EB5559"/>
    <w:rsid w:val="00EB6654"/>
    <w:rsid w:val="00EC0FEF"/>
    <w:rsid w:val="00EC16A4"/>
    <w:rsid w:val="00EC285E"/>
    <w:rsid w:val="00EC3CA3"/>
    <w:rsid w:val="00EC40DC"/>
    <w:rsid w:val="00EC423C"/>
    <w:rsid w:val="00EC69C6"/>
    <w:rsid w:val="00EC6D18"/>
    <w:rsid w:val="00EC76AC"/>
    <w:rsid w:val="00ED0E43"/>
    <w:rsid w:val="00ED1C50"/>
    <w:rsid w:val="00ED27D3"/>
    <w:rsid w:val="00ED3586"/>
    <w:rsid w:val="00ED471C"/>
    <w:rsid w:val="00ED4772"/>
    <w:rsid w:val="00ED4CFF"/>
    <w:rsid w:val="00ED50D0"/>
    <w:rsid w:val="00ED5CBB"/>
    <w:rsid w:val="00EE01D2"/>
    <w:rsid w:val="00EE0A9B"/>
    <w:rsid w:val="00EE1119"/>
    <w:rsid w:val="00EE2B1A"/>
    <w:rsid w:val="00EE2E2A"/>
    <w:rsid w:val="00EE5350"/>
    <w:rsid w:val="00EE5355"/>
    <w:rsid w:val="00EE5B6D"/>
    <w:rsid w:val="00EE6A29"/>
    <w:rsid w:val="00EE6AF1"/>
    <w:rsid w:val="00EF1A65"/>
    <w:rsid w:val="00EF3A34"/>
    <w:rsid w:val="00EF3C52"/>
    <w:rsid w:val="00EF50FC"/>
    <w:rsid w:val="00EF5B20"/>
    <w:rsid w:val="00EF5B27"/>
    <w:rsid w:val="00EF616E"/>
    <w:rsid w:val="00EF723E"/>
    <w:rsid w:val="00F0070B"/>
    <w:rsid w:val="00F00AED"/>
    <w:rsid w:val="00F01172"/>
    <w:rsid w:val="00F01E13"/>
    <w:rsid w:val="00F02272"/>
    <w:rsid w:val="00F030FA"/>
    <w:rsid w:val="00F033DD"/>
    <w:rsid w:val="00F03E23"/>
    <w:rsid w:val="00F03FE9"/>
    <w:rsid w:val="00F043A3"/>
    <w:rsid w:val="00F061BB"/>
    <w:rsid w:val="00F06244"/>
    <w:rsid w:val="00F06A95"/>
    <w:rsid w:val="00F06AA7"/>
    <w:rsid w:val="00F076D2"/>
    <w:rsid w:val="00F07EC1"/>
    <w:rsid w:val="00F1030B"/>
    <w:rsid w:val="00F124E4"/>
    <w:rsid w:val="00F13933"/>
    <w:rsid w:val="00F14C71"/>
    <w:rsid w:val="00F16476"/>
    <w:rsid w:val="00F173E0"/>
    <w:rsid w:val="00F17537"/>
    <w:rsid w:val="00F17B7B"/>
    <w:rsid w:val="00F2028F"/>
    <w:rsid w:val="00F203F2"/>
    <w:rsid w:val="00F204FD"/>
    <w:rsid w:val="00F205FA"/>
    <w:rsid w:val="00F20DCB"/>
    <w:rsid w:val="00F22B76"/>
    <w:rsid w:val="00F249D1"/>
    <w:rsid w:val="00F24D54"/>
    <w:rsid w:val="00F255AF"/>
    <w:rsid w:val="00F273E4"/>
    <w:rsid w:val="00F3116A"/>
    <w:rsid w:val="00F32880"/>
    <w:rsid w:val="00F32F63"/>
    <w:rsid w:val="00F335C3"/>
    <w:rsid w:val="00F34222"/>
    <w:rsid w:val="00F34596"/>
    <w:rsid w:val="00F34B04"/>
    <w:rsid w:val="00F34B65"/>
    <w:rsid w:val="00F36110"/>
    <w:rsid w:val="00F40749"/>
    <w:rsid w:val="00F40A87"/>
    <w:rsid w:val="00F40BB1"/>
    <w:rsid w:val="00F412DF"/>
    <w:rsid w:val="00F425CA"/>
    <w:rsid w:val="00F42C8F"/>
    <w:rsid w:val="00F432F0"/>
    <w:rsid w:val="00F43874"/>
    <w:rsid w:val="00F44021"/>
    <w:rsid w:val="00F4564B"/>
    <w:rsid w:val="00F4567C"/>
    <w:rsid w:val="00F45B18"/>
    <w:rsid w:val="00F45D41"/>
    <w:rsid w:val="00F465BC"/>
    <w:rsid w:val="00F478B7"/>
    <w:rsid w:val="00F50594"/>
    <w:rsid w:val="00F50829"/>
    <w:rsid w:val="00F52BC6"/>
    <w:rsid w:val="00F53F3C"/>
    <w:rsid w:val="00F55B9F"/>
    <w:rsid w:val="00F567E7"/>
    <w:rsid w:val="00F56DFC"/>
    <w:rsid w:val="00F6051B"/>
    <w:rsid w:val="00F60D09"/>
    <w:rsid w:val="00F60EC2"/>
    <w:rsid w:val="00F61AAA"/>
    <w:rsid w:val="00F6394C"/>
    <w:rsid w:val="00F64059"/>
    <w:rsid w:val="00F651D8"/>
    <w:rsid w:val="00F661DB"/>
    <w:rsid w:val="00F6651A"/>
    <w:rsid w:val="00F6691F"/>
    <w:rsid w:val="00F66923"/>
    <w:rsid w:val="00F6700B"/>
    <w:rsid w:val="00F67B4F"/>
    <w:rsid w:val="00F67FDB"/>
    <w:rsid w:val="00F7084B"/>
    <w:rsid w:val="00F72CEB"/>
    <w:rsid w:val="00F7333F"/>
    <w:rsid w:val="00F73E86"/>
    <w:rsid w:val="00F76067"/>
    <w:rsid w:val="00F77365"/>
    <w:rsid w:val="00F80A59"/>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DA1"/>
    <w:rsid w:val="00F92F2B"/>
    <w:rsid w:val="00F93D52"/>
    <w:rsid w:val="00F95A24"/>
    <w:rsid w:val="00F95C25"/>
    <w:rsid w:val="00F9696D"/>
    <w:rsid w:val="00F9787F"/>
    <w:rsid w:val="00F97BD4"/>
    <w:rsid w:val="00FA239E"/>
    <w:rsid w:val="00FA2400"/>
    <w:rsid w:val="00FA3CD1"/>
    <w:rsid w:val="00FA5355"/>
    <w:rsid w:val="00FA5C94"/>
    <w:rsid w:val="00FA67A4"/>
    <w:rsid w:val="00FA7E55"/>
    <w:rsid w:val="00FB11F6"/>
    <w:rsid w:val="00FB5BD2"/>
    <w:rsid w:val="00FB5C6B"/>
    <w:rsid w:val="00FC1B89"/>
    <w:rsid w:val="00FC2473"/>
    <w:rsid w:val="00FC24F0"/>
    <w:rsid w:val="00FC2AC1"/>
    <w:rsid w:val="00FC37A4"/>
    <w:rsid w:val="00FC3D02"/>
    <w:rsid w:val="00FC499B"/>
    <w:rsid w:val="00FC5AE6"/>
    <w:rsid w:val="00FC6B4E"/>
    <w:rsid w:val="00FC749F"/>
    <w:rsid w:val="00FD203E"/>
    <w:rsid w:val="00FD3BE0"/>
    <w:rsid w:val="00FD3DD9"/>
    <w:rsid w:val="00FD491D"/>
    <w:rsid w:val="00FD4C31"/>
    <w:rsid w:val="00FD514F"/>
    <w:rsid w:val="00FD525D"/>
    <w:rsid w:val="00FD55E9"/>
    <w:rsid w:val="00FD598E"/>
    <w:rsid w:val="00FD5E1C"/>
    <w:rsid w:val="00FD6310"/>
    <w:rsid w:val="00FD69B6"/>
    <w:rsid w:val="00FD7411"/>
    <w:rsid w:val="00FD75E0"/>
    <w:rsid w:val="00FE010B"/>
    <w:rsid w:val="00FE2B5F"/>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DB78B9"/>
    <w:rsid w:val="02E05BA9"/>
    <w:rsid w:val="02F9CB1A"/>
    <w:rsid w:val="031B4F1A"/>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6E9A4"/>
    <w:rsid w:val="072BF6DB"/>
    <w:rsid w:val="07426498"/>
    <w:rsid w:val="075E9F9A"/>
    <w:rsid w:val="0767BD46"/>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42F952"/>
    <w:rsid w:val="0D7BC10C"/>
    <w:rsid w:val="0DDF7747"/>
    <w:rsid w:val="0DEA480A"/>
    <w:rsid w:val="0E047908"/>
    <w:rsid w:val="0E2BDA62"/>
    <w:rsid w:val="0E852D9F"/>
    <w:rsid w:val="0EA239FA"/>
    <w:rsid w:val="0EB04332"/>
    <w:rsid w:val="0EC84EAD"/>
    <w:rsid w:val="0F05246E"/>
    <w:rsid w:val="0F17AFCF"/>
    <w:rsid w:val="104D05EE"/>
    <w:rsid w:val="10FB1268"/>
    <w:rsid w:val="11371893"/>
    <w:rsid w:val="1197F5F2"/>
    <w:rsid w:val="1202F9F7"/>
    <w:rsid w:val="1205BB83"/>
    <w:rsid w:val="1230F398"/>
    <w:rsid w:val="127CEE82"/>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D851E"/>
    <w:rsid w:val="164E58D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A7C162"/>
    <w:rsid w:val="1CE321D7"/>
    <w:rsid w:val="1D110840"/>
    <w:rsid w:val="1D1A32B6"/>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975FB1A"/>
    <w:rsid w:val="29DA4D6B"/>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024F7"/>
    <w:rsid w:val="2DF81158"/>
    <w:rsid w:val="2E8909E8"/>
    <w:rsid w:val="2E8B06D2"/>
    <w:rsid w:val="2E98B4E9"/>
    <w:rsid w:val="2E9D0036"/>
    <w:rsid w:val="2EBB7863"/>
    <w:rsid w:val="2F5A9AA2"/>
    <w:rsid w:val="2FA299F0"/>
    <w:rsid w:val="301E91D2"/>
    <w:rsid w:val="303450D9"/>
    <w:rsid w:val="3044E554"/>
    <w:rsid w:val="305D8A03"/>
    <w:rsid w:val="30959C39"/>
    <w:rsid w:val="30969683"/>
    <w:rsid w:val="30CA0122"/>
    <w:rsid w:val="31070E3B"/>
    <w:rsid w:val="31244F74"/>
    <w:rsid w:val="317DF069"/>
    <w:rsid w:val="31883AD4"/>
    <w:rsid w:val="31CD31C3"/>
    <w:rsid w:val="31F2E3A8"/>
    <w:rsid w:val="31F45001"/>
    <w:rsid w:val="32244C4D"/>
    <w:rsid w:val="32C493B9"/>
    <w:rsid w:val="337E4F62"/>
    <w:rsid w:val="3410781A"/>
    <w:rsid w:val="342586A0"/>
    <w:rsid w:val="346DC285"/>
    <w:rsid w:val="34BF6B5C"/>
    <w:rsid w:val="34CF7151"/>
    <w:rsid w:val="34F26B3D"/>
    <w:rsid w:val="34FC4E82"/>
    <w:rsid w:val="3508D2B4"/>
    <w:rsid w:val="352A3C90"/>
    <w:rsid w:val="356D1403"/>
    <w:rsid w:val="35E00493"/>
    <w:rsid w:val="35EFDEA4"/>
    <w:rsid w:val="3637A190"/>
    <w:rsid w:val="367151F5"/>
    <w:rsid w:val="36727674"/>
    <w:rsid w:val="369877F7"/>
    <w:rsid w:val="36B4D21A"/>
    <w:rsid w:val="36B519F4"/>
    <w:rsid w:val="36B794A1"/>
    <w:rsid w:val="36BD07A1"/>
    <w:rsid w:val="370EEC25"/>
    <w:rsid w:val="37992B36"/>
    <w:rsid w:val="37D371F1"/>
    <w:rsid w:val="37ED66DC"/>
    <w:rsid w:val="37F674A6"/>
    <w:rsid w:val="380D2256"/>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F35D12"/>
    <w:rsid w:val="3E2898B1"/>
    <w:rsid w:val="3E7BB759"/>
    <w:rsid w:val="3E911555"/>
    <w:rsid w:val="3F0DCF2B"/>
    <w:rsid w:val="3F1D81FE"/>
    <w:rsid w:val="3F25788E"/>
    <w:rsid w:val="3F41B281"/>
    <w:rsid w:val="3F4223AA"/>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6B6AF4"/>
    <w:rsid w:val="430D6A5E"/>
    <w:rsid w:val="4369FDC0"/>
    <w:rsid w:val="43ACC559"/>
    <w:rsid w:val="43DECCDD"/>
    <w:rsid w:val="43EC86D8"/>
    <w:rsid w:val="4406AB54"/>
    <w:rsid w:val="44449A9C"/>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E3B59E6"/>
    <w:rsid w:val="4E619355"/>
    <w:rsid w:val="4E796CA0"/>
    <w:rsid w:val="4E91767C"/>
    <w:rsid w:val="4EB4342B"/>
    <w:rsid w:val="4F05D84D"/>
    <w:rsid w:val="4F3E0801"/>
    <w:rsid w:val="4F738F9F"/>
    <w:rsid w:val="4F8C615C"/>
    <w:rsid w:val="4FBD30BC"/>
    <w:rsid w:val="4FFD63B6"/>
    <w:rsid w:val="50418A80"/>
    <w:rsid w:val="5099ABA8"/>
    <w:rsid w:val="50AB485E"/>
    <w:rsid w:val="50B45E6A"/>
    <w:rsid w:val="50C50A1F"/>
    <w:rsid w:val="50CD3F87"/>
    <w:rsid w:val="50D7C26C"/>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4986723"/>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E2123B"/>
    <w:rsid w:val="5A046EEB"/>
    <w:rsid w:val="5A0EDA3A"/>
    <w:rsid w:val="5A8F3846"/>
    <w:rsid w:val="5AC4ECBD"/>
    <w:rsid w:val="5B3A8297"/>
    <w:rsid w:val="5B64B2FA"/>
    <w:rsid w:val="5BBAFFA3"/>
    <w:rsid w:val="5BC935D2"/>
    <w:rsid w:val="5BD2514D"/>
    <w:rsid w:val="5C8996BC"/>
    <w:rsid w:val="5C8F6D41"/>
    <w:rsid w:val="5C974C23"/>
    <w:rsid w:val="5CBC3914"/>
    <w:rsid w:val="5D3FFFD4"/>
    <w:rsid w:val="5E4465FF"/>
    <w:rsid w:val="5E508191"/>
    <w:rsid w:val="5F0178A4"/>
    <w:rsid w:val="5F7200BC"/>
    <w:rsid w:val="5F9FEBA2"/>
    <w:rsid w:val="5FA7B51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213669"/>
    <w:rsid w:val="6624FFA7"/>
    <w:rsid w:val="66279AF0"/>
    <w:rsid w:val="666994C8"/>
    <w:rsid w:val="66707D75"/>
    <w:rsid w:val="6673B421"/>
    <w:rsid w:val="6693FFBB"/>
    <w:rsid w:val="670FAEFC"/>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2333D1C"/>
    <w:rsid w:val="7240173D"/>
    <w:rsid w:val="731B86B4"/>
    <w:rsid w:val="7371913C"/>
    <w:rsid w:val="7385D499"/>
    <w:rsid w:val="73BF97EC"/>
    <w:rsid w:val="7446EBA3"/>
    <w:rsid w:val="744CAD1F"/>
    <w:rsid w:val="74507E00"/>
    <w:rsid w:val="7488C5FC"/>
    <w:rsid w:val="74D1A881"/>
    <w:rsid w:val="74DB9DC3"/>
    <w:rsid w:val="75BA4DE9"/>
    <w:rsid w:val="75D81128"/>
    <w:rsid w:val="763F14E8"/>
    <w:rsid w:val="76443EEC"/>
    <w:rsid w:val="767F0B4E"/>
    <w:rsid w:val="76F5A639"/>
    <w:rsid w:val="776992E8"/>
    <w:rsid w:val="77AB5716"/>
    <w:rsid w:val="77BEDBBD"/>
    <w:rsid w:val="77CDC4D5"/>
    <w:rsid w:val="77D5DED4"/>
    <w:rsid w:val="7855FFCD"/>
    <w:rsid w:val="7863BFF8"/>
    <w:rsid w:val="789F94DB"/>
    <w:rsid w:val="79538024"/>
    <w:rsid w:val="79694411"/>
    <w:rsid w:val="79A160DF"/>
    <w:rsid w:val="79B958A8"/>
    <w:rsid w:val="79E53376"/>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EF0068"/>
    <w:rsid w:val="7EF99E57"/>
    <w:rsid w:val="7F277DA7"/>
    <w:rsid w:val="7F3A0D52"/>
    <w:rsid w:val="7F545933"/>
    <w:rsid w:val="7F5AB322"/>
    <w:rsid w:val="7F61FD9D"/>
    <w:rsid w:val="7F94955D"/>
    <w:rsid w:val="7FA2A906"/>
    <w:rsid w:val="7FC5141C"/>
    <w:rsid w:val="7FEA6D14"/>
    <w:rsid w:val="9FDFFA94"/>
    <w:rsid w:val="ABA744C2"/>
    <w:rsid w:val="AFF70F87"/>
    <w:rsid w:val="BBF9E104"/>
    <w:rsid w:val="DEFCA15B"/>
    <w:rsid w:val="EE7506C8"/>
    <w:rsid w:val="FF2B479C"/>
    <w:rsid w:val="FFBBF0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宋体" w:asciiTheme="minorHAnsi" w:hAnsiTheme="minorHAnsi" w:cstheme="minorBidi"/>
      <w:sz w:val="22"/>
      <w:szCs w:val="22"/>
      <w:lang w:val="en-US" w:eastAsia="en-US" w:bidi="ar-SA"/>
    </w:rPr>
  </w:style>
  <w:style w:type="paragraph" w:styleId="2">
    <w:name w:val="heading 1"/>
    <w:basedOn w:val="1"/>
    <w:next w:val="1"/>
    <w:link w:val="23"/>
    <w:qFormat/>
    <w:uiPriority w:val="9"/>
    <w:pPr>
      <w:outlineLvl w:val="0"/>
    </w:pPr>
    <w:rPr>
      <w:rFonts w:cstheme="minorHAnsi"/>
      <w:b/>
      <w:bCs/>
    </w:rPr>
  </w:style>
  <w:style w:type="paragraph" w:styleId="3">
    <w:name w:val="heading 2"/>
    <w:basedOn w:val="1"/>
    <w:next w:val="1"/>
    <w:link w:val="24"/>
    <w:unhideWhenUsed/>
    <w:qFormat/>
    <w:uiPriority w:val="9"/>
    <w:pPr>
      <w:outlineLvl w:val="1"/>
    </w:pPr>
    <w:rPr>
      <w:b/>
      <w:u w:val="single"/>
    </w:rPr>
  </w:style>
  <w:style w:type="character" w:default="1" w:styleId="15">
    <w:name w:val="Default Paragraph Font"/>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33"/>
    <w:unhideWhenUsed/>
    <w:qFormat/>
    <w:uiPriority w:val="99"/>
    <w:rPr>
      <w:sz w:val="20"/>
      <w:szCs w:val="20"/>
    </w:rPr>
  </w:style>
  <w:style w:type="paragraph" w:styleId="5">
    <w:name w:val="endnote text"/>
    <w:basedOn w:val="1"/>
    <w:link w:val="32"/>
    <w:semiHidden/>
    <w:unhideWhenUsed/>
    <w:qFormat/>
    <w:uiPriority w:val="99"/>
    <w:pPr>
      <w:snapToGrid w:val="0"/>
    </w:pPr>
  </w:style>
  <w:style w:type="paragraph" w:styleId="6">
    <w:name w:val="Balloon Text"/>
    <w:basedOn w:val="1"/>
    <w:link w:val="27"/>
    <w:semiHidden/>
    <w:unhideWhenUsed/>
    <w:qFormat/>
    <w:uiPriority w:val="99"/>
    <w:rPr>
      <w:rFonts w:ascii="Segoe UI" w:hAnsi="Segoe UI" w:cs="Segoe UI"/>
      <w:sz w:val="18"/>
      <w:szCs w:val="18"/>
    </w:rPr>
  </w:style>
  <w:style w:type="paragraph" w:styleId="7">
    <w:name w:val="footer"/>
    <w:basedOn w:val="1"/>
    <w:link w:val="29"/>
    <w:unhideWhenUsed/>
    <w:qFormat/>
    <w:uiPriority w:val="99"/>
    <w:pPr>
      <w:tabs>
        <w:tab w:val="center" w:pos="4320"/>
        <w:tab w:val="right" w:pos="8640"/>
      </w:tabs>
    </w:pPr>
  </w:style>
  <w:style w:type="paragraph" w:styleId="8">
    <w:name w:val="header"/>
    <w:basedOn w:val="1"/>
    <w:link w:val="28"/>
    <w:unhideWhenUsed/>
    <w:qFormat/>
    <w:uiPriority w:val="99"/>
    <w:pPr>
      <w:tabs>
        <w:tab w:val="center" w:pos="4320"/>
        <w:tab w:val="right" w:pos="8640"/>
      </w:tabs>
    </w:pPr>
  </w:style>
  <w:style w:type="paragraph" w:styleId="9">
    <w:name w:val="footnote text"/>
    <w:basedOn w:val="1"/>
    <w:link w:val="30"/>
    <w:semiHidden/>
    <w:unhideWhenUsed/>
    <w:qFormat/>
    <w:uiPriority w:val="99"/>
    <w:rPr>
      <w:sz w:val="20"/>
      <w:szCs w:val="20"/>
    </w:rPr>
  </w:style>
  <w:style w:type="paragraph" w:styleId="10">
    <w:name w:val="table of figures"/>
    <w:basedOn w:val="1"/>
    <w:next w:val="1"/>
    <w:semiHidden/>
    <w:unhideWhenUsed/>
    <w:qFormat/>
    <w:uiPriority w:val="99"/>
    <w:pPr>
      <w:ind w:left="200" w:leftChars="200" w:hanging="200" w:hangingChars="200"/>
    </w:pPr>
  </w:style>
  <w:style w:type="paragraph" w:styleId="11">
    <w:name w:val="Title"/>
    <w:basedOn w:val="1"/>
    <w:link w:val="22"/>
    <w:qFormat/>
    <w:uiPriority w:val="10"/>
  </w:style>
  <w:style w:type="paragraph" w:styleId="12">
    <w:name w:val="annotation subject"/>
    <w:basedOn w:val="4"/>
    <w:next w:val="4"/>
    <w:link w:val="34"/>
    <w:semiHidden/>
    <w:unhideWhenUsed/>
    <w:qFormat/>
    <w:uiPriority w:val="99"/>
    <w:rPr>
      <w:b/>
      <w:bCs/>
    </w:rPr>
  </w:style>
  <w:style w:type="table" w:styleId="14">
    <w:name w:val="Table Grid"/>
    <w:basedOn w:val="1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ndnote reference"/>
    <w:basedOn w:val="15"/>
    <w:semiHidden/>
    <w:unhideWhenUsed/>
    <w:qFormat/>
    <w:uiPriority w:val="99"/>
    <w:rPr>
      <w:vertAlign w:val="superscript"/>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16"/>
      <w:szCs w:val="16"/>
    </w:rPr>
  </w:style>
  <w:style w:type="character" w:styleId="19">
    <w:name w:val="footnote reference"/>
    <w:basedOn w:val="15"/>
    <w:semiHidden/>
    <w:unhideWhenUsed/>
    <w:qFormat/>
    <w:uiPriority w:val="99"/>
    <w:rPr>
      <w:vertAlign w:val="superscript"/>
    </w:rPr>
  </w:style>
  <w:style w:type="paragraph" w:customStyle="1" w:styleId="20">
    <w:name w:val="Guidance"/>
    <w:basedOn w:val="1"/>
    <w:next w:val="11"/>
    <w:link w:val="21"/>
    <w:qFormat/>
    <w:uiPriority w:val="0"/>
    <w:rPr>
      <w:i/>
      <w:iCs/>
      <w:color w:val="0070C0"/>
    </w:rPr>
  </w:style>
  <w:style w:type="character" w:customStyle="1" w:styleId="21">
    <w:name w:val="Guidance Char"/>
    <w:basedOn w:val="15"/>
    <w:link w:val="20"/>
    <w:qFormat/>
    <w:uiPriority w:val="0"/>
    <w:rPr>
      <w:rFonts w:asciiTheme="minorHAnsi" w:hAnsiTheme="minorHAnsi"/>
      <w:i/>
      <w:iCs/>
      <w:color w:val="0070C0"/>
      <w:lang w:eastAsia="en-US"/>
    </w:rPr>
  </w:style>
  <w:style w:type="character" w:customStyle="1" w:styleId="22">
    <w:name w:val="标题 字符"/>
    <w:basedOn w:val="15"/>
    <w:link w:val="11"/>
    <w:qFormat/>
    <w:uiPriority w:val="10"/>
  </w:style>
  <w:style w:type="character" w:customStyle="1" w:styleId="23">
    <w:name w:val="标题 1 字符"/>
    <w:basedOn w:val="15"/>
    <w:link w:val="2"/>
    <w:qFormat/>
    <w:uiPriority w:val="9"/>
    <w:rPr>
      <w:rFonts w:asciiTheme="minorHAnsi" w:hAnsiTheme="minorHAnsi" w:cstheme="minorHAnsi"/>
      <w:b/>
      <w:bCs/>
      <w:lang w:eastAsia="en-US"/>
    </w:rPr>
  </w:style>
  <w:style w:type="character" w:customStyle="1" w:styleId="24">
    <w:name w:val="标题 2 字符"/>
    <w:basedOn w:val="15"/>
    <w:link w:val="3"/>
    <w:qFormat/>
    <w:uiPriority w:val="9"/>
    <w:rPr>
      <w:rFonts w:asciiTheme="minorHAnsi" w:hAnsiTheme="minorHAnsi"/>
      <w:b/>
      <w:u w:val="single"/>
      <w:lang w:eastAsia="en-US"/>
    </w:rPr>
  </w:style>
  <w:style w:type="paragraph" w:customStyle="1" w:styleId="25">
    <w:name w:val="ICPE Venue"/>
    <w:basedOn w:val="1"/>
    <w:next w:val="1"/>
    <w:link w:val="26"/>
    <w:qFormat/>
    <w:uiPriority w:val="0"/>
    <w:pPr>
      <w:spacing w:after="60"/>
    </w:pPr>
    <w:rPr>
      <w:rFonts w:cs="Times New Roman"/>
      <w:i/>
      <w:color w:val="0070C0"/>
      <w:lang w:val="en-GB"/>
    </w:rPr>
  </w:style>
  <w:style w:type="character" w:customStyle="1" w:styleId="26">
    <w:name w:val="ICPE Venue Char"/>
    <w:basedOn w:val="15"/>
    <w:link w:val="25"/>
    <w:qFormat/>
    <w:uiPriority w:val="0"/>
    <w:rPr>
      <w:rFonts w:cs="Times New Roman"/>
      <w:i/>
      <w:color w:val="0070C0"/>
      <w:lang w:val="en-GB"/>
    </w:rPr>
  </w:style>
  <w:style w:type="character" w:customStyle="1" w:styleId="27">
    <w:name w:val="批注框文本 字符"/>
    <w:basedOn w:val="15"/>
    <w:link w:val="6"/>
    <w:semiHidden/>
    <w:qFormat/>
    <w:uiPriority w:val="99"/>
    <w:rPr>
      <w:rFonts w:ascii="Segoe UI" w:hAnsi="Segoe UI" w:cs="Segoe UI"/>
      <w:sz w:val="18"/>
      <w:szCs w:val="18"/>
      <w:lang w:eastAsia="en-US"/>
    </w:rPr>
  </w:style>
  <w:style w:type="character" w:customStyle="1" w:styleId="28">
    <w:name w:val="页眉 字符"/>
    <w:basedOn w:val="15"/>
    <w:link w:val="8"/>
    <w:qFormat/>
    <w:uiPriority w:val="99"/>
    <w:rPr>
      <w:lang w:eastAsia="en-US"/>
    </w:rPr>
  </w:style>
  <w:style w:type="character" w:customStyle="1" w:styleId="29">
    <w:name w:val="页脚 字符"/>
    <w:basedOn w:val="15"/>
    <w:link w:val="7"/>
    <w:qFormat/>
    <w:uiPriority w:val="99"/>
    <w:rPr>
      <w:lang w:eastAsia="en-US"/>
    </w:rPr>
  </w:style>
  <w:style w:type="character" w:customStyle="1" w:styleId="30">
    <w:name w:val="脚注文本 字符"/>
    <w:basedOn w:val="15"/>
    <w:link w:val="9"/>
    <w:semiHidden/>
    <w:qFormat/>
    <w:uiPriority w:val="99"/>
    <w:rPr>
      <w:sz w:val="20"/>
      <w:szCs w:val="20"/>
      <w:lang w:eastAsia="en-US"/>
    </w:rPr>
  </w:style>
  <w:style w:type="character" w:styleId="31">
    <w:name w:val="Placeholder Text"/>
    <w:basedOn w:val="15"/>
    <w:semiHidden/>
    <w:qFormat/>
    <w:uiPriority w:val="99"/>
    <w:rPr>
      <w:color w:val="808080"/>
    </w:rPr>
  </w:style>
  <w:style w:type="character" w:customStyle="1" w:styleId="32">
    <w:name w:val="尾注文本 字符"/>
    <w:basedOn w:val="15"/>
    <w:link w:val="5"/>
    <w:semiHidden/>
    <w:qFormat/>
    <w:uiPriority w:val="99"/>
    <w:rPr>
      <w:rFonts w:asciiTheme="minorHAnsi" w:hAnsiTheme="minorHAnsi"/>
      <w:lang w:eastAsia="en-US"/>
    </w:rPr>
  </w:style>
  <w:style w:type="character" w:customStyle="1" w:styleId="33">
    <w:name w:val="批注文字 字符"/>
    <w:basedOn w:val="15"/>
    <w:link w:val="4"/>
    <w:qFormat/>
    <w:uiPriority w:val="99"/>
    <w:rPr>
      <w:rFonts w:asciiTheme="minorHAnsi" w:hAnsiTheme="minorHAnsi"/>
      <w:sz w:val="20"/>
      <w:szCs w:val="20"/>
      <w:lang w:eastAsia="en-US"/>
    </w:rPr>
  </w:style>
  <w:style w:type="character" w:customStyle="1" w:styleId="34">
    <w:name w:val="批注主题 字符"/>
    <w:basedOn w:val="33"/>
    <w:link w:val="12"/>
    <w:semiHidden/>
    <w:qFormat/>
    <w:uiPriority w:val="99"/>
    <w:rPr>
      <w:rFonts w:asciiTheme="minorHAnsi" w:hAnsiTheme="minorHAnsi"/>
      <w:b/>
      <w:bCs/>
      <w:sz w:val="20"/>
      <w:szCs w:val="20"/>
      <w:lang w:eastAsia="en-US"/>
    </w:rPr>
  </w:style>
  <w:style w:type="character" w:customStyle="1" w:styleId="35">
    <w:name w:val="未处理的提及1"/>
    <w:basedOn w:val="15"/>
    <w:semiHidden/>
    <w:unhideWhenUsed/>
    <w:qFormat/>
    <w:uiPriority w:val="99"/>
    <w:rPr>
      <w:color w:val="605E5C"/>
      <w:shd w:val="clear" w:color="auto" w:fill="E1DFDD"/>
    </w:rPr>
  </w:style>
  <w:style w:type="table" w:customStyle="1" w:styleId="36">
    <w:name w:val="Table Grid1"/>
    <w:basedOn w:val="13"/>
    <w:qFormat/>
    <w:uiPriority w:val="39"/>
    <w:rPr>
      <w:rFonts w:asciiTheme="minorHAnsi" w:hAnsiTheme="minorHAnsi"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7">
    <w:name w:val="List Paragraph"/>
    <w:basedOn w:val="1"/>
    <w:qFormat/>
    <w:uiPriority w:val="34"/>
    <w:pPr>
      <w:ind w:left="720"/>
      <w:contextualSpacing/>
    </w:pPr>
  </w:style>
  <w:style w:type="character" w:customStyle="1" w:styleId="38">
    <w:name w:val="normaltextrun"/>
    <w:basedOn w:val="15"/>
    <w:qFormat/>
    <w:uiPriority w:val="0"/>
  </w:style>
  <w:style w:type="character" w:customStyle="1" w:styleId="39">
    <w:name w:val="eop"/>
    <w:basedOn w:val="15"/>
    <w:qFormat/>
    <w:uiPriority w:val="0"/>
  </w:style>
  <w:style w:type="paragraph" w:customStyle="1" w:styleId="40">
    <w:name w:val="修订1"/>
    <w:hidden/>
    <w:semiHidden/>
    <w:qFormat/>
    <w:uiPriority w:val="99"/>
    <w:rPr>
      <w:rFonts w:eastAsia="宋体" w:asciiTheme="minorHAnsi" w:hAnsiTheme="minorHAnsi" w:cstheme="minorBidi"/>
      <w:sz w:val="22"/>
      <w:szCs w:val="22"/>
      <w:lang w:val="en-US" w:eastAsia="en-US" w:bidi="ar-SA"/>
    </w:rPr>
  </w:style>
  <w:style w:type="character" w:customStyle="1" w:styleId="41">
    <w:name w:val="@他1"/>
    <w:basedOn w:val="15"/>
    <w:unhideWhenUsed/>
    <w:qFormat/>
    <w:uiPriority w:val="99"/>
    <w:rPr>
      <w:color w:val="2B579A"/>
      <w:shd w:val="clear" w:color="auto" w:fill="E1DFDD"/>
    </w:rPr>
  </w:style>
  <w:style w:type="character" w:customStyle="1" w:styleId="42">
    <w:name w:val="16"/>
    <w:basedOn w:val="15"/>
    <w:qFormat/>
    <w:uiPriority w:val="0"/>
    <w:rPr>
      <w:rFonts w:hint="default" w:ascii="Times New Roman" w:hAnsi="Times New Roman" w:cs="Times New Roman"/>
      <w:color w:val="808080"/>
    </w:rPr>
  </w:style>
  <w:style w:type="character" w:customStyle="1" w:styleId="43">
    <w:name w:val="未处理的提及2"/>
    <w:basedOn w:val="15"/>
    <w:semiHidden/>
    <w:unhideWhenUsed/>
    <w:qFormat/>
    <w:uiPriority w:val="99"/>
    <w:rPr>
      <w:color w:val="605E5C"/>
      <w:shd w:val="clear" w:color="auto" w:fill="E1DFDD"/>
    </w:rPr>
  </w:style>
  <w:style w:type="table" w:customStyle="1" w:styleId="44">
    <w:name w:val="网格型1"/>
    <w:basedOn w:val="13"/>
    <w:qFormat/>
    <w:uiPriority w:val="99"/>
    <w:rPr>
      <w:rFonts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numbering" Target="numbering.xml"/><Relationship Id="rId18"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footer" Target="footer2.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glossaryDocument" Target="glossary/document.xml"/><Relationship Id="rId6" Type="http://schemas.openxmlformats.org/officeDocument/2006/relationships/footer" Target="footer1.xml"/><Relationship Id="rId11" Type="http://schemas.openxmlformats.org/officeDocument/2006/relationships/image" Target="media/image3.png"/><Relationship Id="rId1" Type="http://schemas.openxmlformats.org/officeDocument/2006/relationships/styles" Target="styles.xml"/><Relationship Id="rId5" Type="http://schemas.openxmlformats.org/officeDocument/2006/relationships/header" Target="header2.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9" Type="http://schemas.openxmlformats.org/officeDocument/2006/relationships/theme" Target="theme/theme1.xml"/><Relationship Id="rId4" Type="http://schemas.openxmlformats.org/officeDocument/2006/relationships/header" Target="header1.xml"/><Relationship Id="rId14" Type="http://schemas.openxmlformats.org/officeDocument/2006/relationships/customXml" Target="../customXml/item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B55F06DC751453F98E30C95DD8A15B4"/>
        <w:style w:val=""/>
        <w:category>
          <w:name w:val="常规"/>
          <w:gallery w:val="placeholder"/>
        </w:category>
        <w:types>
          <w:type w:val="bbPlcHdr"/>
        </w:types>
        <w:behaviors>
          <w:behavior w:val="content"/>
        </w:behaviors>
        <w:description w:val=""/>
        <w:guid w:val="{0C6ACFED-D938-4DBF-ABBA-B5797F8C7594}"/>
      </w:docPartPr>
      <w:docPartBody>
        <w:p>
          <w:pPr>
            <w:pStyle w:val="5"/>
          </w:pPr>
          <w:r>
            <w:rPr>
              <w:rStyle w:val="4"/>
              <w:b/>
              <w:bCs/>
              <w:i/>
              <w:iCs/>
              <w:color w:val="FFFF00"/>
            </w:rPr>
            <w:t>Click or tap to enter a date.</w:t>
          </w:r>
        </w:p>
      </w:docPartBody>
    </w:docPart>
    <w:docPart>
      <w:docPartPr>
        <w:name w:val="B8CEC886AD414E9F9AD5CDFE881CE8AB"/>
        <w:style w:val=""/>
        <w:category>
          <w:name w:val="常规"/>
          <w:gallery w:val="placeholder"/>
        </w:category>
        <w:types>
          <w:type w:val="bbPlcHdr"/>
        </w:types>
        <w:behaviors>
          <w:behavior w:val="content"/>
        </w:behaviors>
        <w:description w:val=""/>
        <w:guid w:val="{4F7F129A-D8F1-42DD-AD18-DE092FDE02E9}"/>
      </w:docPartPr>
      <w:docPartBody>
        <w:p>
          <w:pPr>
            <w:pStyle w:val="6"/>
          </w:pPr>
          <w:r>
            <w:rPr>
              <w:rStyle w:val="4"/>
            </w:rPr>
            <w:t>Choose an item.</w:t>
          </w:r>
        </w:p>
      </w:docPartBody>
    </w:docPart>
    <w:docPart>
      <w:docPartPr>
        <w:name w:val="9F4853B784F14DEE978BFD013FBE5BC5"/>
        <w:style w:val=""/>
        <w:category>
          <w:name w:val="常规"/>
          <w:gallery w:val="placeholder"/>
        </w:category>
        <w:types>
          <w:type w:val="bbPlcHdr"/>
        </w:types>
        <w:behaviors>
          <w:behavior w:val="content"/>
        </w:behaviors>
        <w:description w:val=""/>
        <w:guid w:val="{EC61D9EE-4F91-46D4-924E-AE3853553557}"/>
      </w:docPartPr>
      <w:docPartBody>
        <w:p>
          <w:pPr>
            <w:pStyle w:val="7"/>
          </w:pPr>
          <w:r>
            <w:rPr>
              <w:rStyle w:val="4"/>
            </w:rPr>
            <w:t>Choose an item.</w:t>
          </w:r>
        </w:p>
      </w:docPartBody>
    </w:docPart>
    <w:docPart>
      <w:docPartPr>
        <w:name w:val="72F7AD2EF0064F44B64566BD74BF82A8"/>
        <w:style w:val=""/>
        <w:category>
          <w:name w:val="常规"/>
          <w:gallery w:val="placeholder"/>
        </w:category>
        <w:types>
          <w:type w:val="bbPlcHdr"/>
        </w:types>
        <w:behaviors>
          <w:behavior w:val="content"/>
        </w:behaviors>
        <w:description w:val=""/>
        <w:guid w:val="{A167C6CC-36A6-4E27-8DCD-E21AA830C959}"/>
      </w:docPartPr>
      <w:docPartBody>
        <w:p>
          <w:pPr>
            <w:pStyle w:val="8"/>
          </w:pPr>
          <w:r>
            <w:rPr>
              <w:rStyle w:val="4"/>
            </w:rPr>
            <w:t>Choose an item.</w:t>
          </w:r>
        </w:p>
      </w:docPartBody>
    </w:docPart>
    <w:docPart>
      <w:docPartPr>
        <w:name w:val="5A6822FA021B4996B600956E6910121D"/>
        <w:style w:val=""/>
        <w:category>
          <w:name w:val="常规"/>
          <w:gallery w:val="placeholder"/>
        </w:category>
        <w:types>
          <w:type w:val="bbPlcHdr"/>
        </w:types>
        <w:behaviors>
          <w:behavior w:val="content"/>
        </w:behaviors>
        <w:description w:val=""/>
        <w:guid w:val="{4B60C230-4A89-48A3-9F83-B75E427EB6AD}"/>
      </w:docPartPr>
      <w:docPartBody>
        <w:p>
          <w:pPr>
            <w:pStyle w:val="9"/>
          </w:pPr>
          <w:r>
            <w:rPr>
              <w:rStyle w:val="4"/>
            </w:rPr>
            <w:t>Choose an item.</w:t>
          </w:r>
        </w:p>
      </w:docPartBody>
    </w:docPart>
    <w:docPart>
      <w:docPartPr>
        <w:name w:val="CEB6102227464370B97FEE5088000622"/>
        <w:style w:val=""/>
        <w:category>
          <w:name w:val="常规"/>
          <w:gallery w:val="placeholder"/>
        </w:category>
        <w:types>
          <w:type w:val="bbPlcHdr"/>
        </w:types>
        <w:behaviors>
          <w:behavior w:val="content"/>
        </w:behaviors>
        <w:description w:val=""/>
        <w:guid w:val="{8FB54F84-3D87-4CD5-A3CD-279C0B908BE2}"/>
      </w:docPartPr>
      <w:docPartBody>
        <w:p>
          <w:pPr>
            <w:pStyle w:val="10"/>
          </w:pPr>
          <w:r>
            <w:rPr>
              <w:rStyle w:val="4"/>
            </w:rPr>
            <w:t>Choose an item.</w:t>
          </w:r>
        </w:p>
      </w:docPartBody>
    </w:docPart>
    <w:docPart>
      <w:docPartPr>
        <w:name w:val="B7B2675F08284C59BBB6554432D3BBC1"/>
        <w:style w:val=""/>
        <w:category>
          <w:name w:val="常规"/>
          <w:gallery w:val="placeholder"/>
        </w:category>
        <w:types>
          <w:type w:val="bbPlcHdr"/>
        </w:types>
        <w:behaviors>
          <w:behavior w:val="content"/>
        </w:behaviors>
        <w:description w:val=""/>
        <w:guid w:val="{1664C1D8-A058-46E2-A4AD-D125263BD2BB}"/>
      </w:docPartPr>
      <w:docPartBody>
        <w:p>
          <w:pPr>
            <w:pStyle w:val="11"/>
          </w:pPr>
          <w:r>
            <w:rPr>
              <w:rStyle w:val="4"/>
            </w:rPr>
            <w:t>Choose an item.</w:t>
          </w:r>
        </w:p>
      </w:docPartBody>
    </w:docPart>
    <w:docPart>
      <w:docPartPr>
        <w:name w:val="6B046D09B8A74479B2B1630F50AB80FE"/>
        <w:style w:val=""/>
        <w:category>
          <w:name w:val="常规"/>
          <w:gallery w:val="placeholder"/>
        </w:category>
        <w:types>
          <w:type w:val="bbPlcHdr"/>
        </w:types>
        <w:behaviors>
          <w:behavior w:val="content"/>
        </w:behaviors>
        <w:description w:val=""/>
        <w:guid w:val="{1670DB9D-2FA3-4DB1-8BA7-827EE5411DDE}"/>
      </w:docPartPr>
      <w:docPartBody>
        <w:p>
          <w:pPr>
            <w:pStyle w:val="12"/>
          </w:pPr>
          <w:r>
            <w:rPr>
              <w:rStyle w:val="4"/>
            </w:rPr>
            <w:t>Choose an item.</w:t>
          </w:r>
        </w:p>
      </w:docPartBody>
    </w:docPart>
    <w:docPart>
      <w:docPartPr>
        <w:name w:val="F4A2E812B5C5414699366B1AFAA4971F"/>
        <w:style w:val=""/>
        <w:category>
          <w:name w:val="常规"/>
          <w:gallery w:val="placeholder"/>
        </w:category>
        <w:types>
          <w:type w:val="bbPlcHdr"/>
        </w:types>
        <w:behaviors>
          <w:behavior w:val="content"/>
        </w:behaviors>
        <w:description w:val=""/>
        <w:guid w:val="{8C854B85-9F4E-4B8B-A111-A064C05FDAE1}"/>
      </w:docPartPr>
      <w:docPartBody>
        <w:p>
          <w:pPr>
            <w:pStyle w:val="13"/>
          </w:pPr>
          <w:r>
            <w:rPr>
              <w:rStyle w:val="4"/>
            </w:rPr>
            <w:t>Choose an item.</w:t>
          </w:r>
        </w:p>
      </w:docPartBody>
    </w:docPart>
    <w:docPart>
      <w:docPartPr>
        <w:name w:val="D83FE06775E24093A2E3A43760E98DF1"/>
        <w:style w:val=""/>
        <w:category>
          <w:name w:val="常规"/>
          <w:gallery w:val="placeholder"/>
        </w:category>
        <w:types>
          <w:type w:val="bbPlcHdr"/>
        </w:types>
        <w:behaviors>
          <w:behavior w:val="content"/>
        </w:behaviors>
        <w:description w:val=""/>
        <w:guid w:val="{6EA26526-1323-4E37-95BD-78BA5D5C23E5}"/>
      </w:docPartPr>
      <w:docPartBody>
        <w:p>
          <w:pPr>
            <w:pStyle w:val="14"/>
          </w:pPr>
          <w:r>
            <w:rPr>
              <w:rStyle w:val="4"/>
            </w:rPr>
            <w:t>Choose an item.</w:t>
          </w:r>
        </w:p>
      </w:docPartBody>
    </w:docPart>
    <w:docPart>
      <w:docPartPr>
        <w:name w:val="B58FC690C5F04317A4239D84CF846A5A"/>
        <w:style w:val=""/>
        <w:category>
          <w:name w:val="常规"/>
          <w:gallery w:val="placeholder"/>
        </w:category>
        <w:types>
          <w:type w:val="bbPlcHdr"/>
        </w:types>
        <w:behaviors>
          <w:behavior w:val="content"/>
        </w:behaviors>
        <w:description w:val=""/>
        <w:guid w:val="{B56AA267-E7EB-49BE-A867-2E3887421FF3}"/>
      </w:docPartPr>
      <w:docPartBody>
        <w:p>
          <w:pPr>
            <w:pStyle w:val="15"/>
          </w:pPr>
          <w:r>
            <w:rPr>
              <w:rStyle w:val="4"/>
            </w:rPr>
            <w:t>Choose an item.</w:t>
          </w:r>
        </w:p>
      </w:docPartBody>
    </w:docPart>
    <w:docPart>
      <w:docPartPr>
        <w:name w:val="6659506902BE40C28EC26151466E3ACA"/>
        <w:style w:val=""/>
        <w:category>
          <w:name w:val="常规"/>
          <w:gallery w:val="placeholder"/>
        </w:category>
        <w:types>
          <w:type w:val="bbPlcHdr"/>
        </w:types>
        <w:behaviors>
          <w:behavior w:val="content"/>
        </w:behaviors>
        <w:description w:val=""/>
        <w:guid w:val="{200023A4-FA8C-474B-B71F-41CB433B40A5}"/>
      </w:docPartPr>
      <w:docPartBody>
        <w:p>
          <w:pPr>
            <w:pStyle w:val="16"/>
          </w:pPr>
          <w:r>
            <w:rPr>
              <w:rStyle w:val="4"/>
            </w:rPr>
            <w:t>Choose an item.</w:t>
          </w:r>
        </w:p>
      </w:docPartBody>
    </w:docPart>
    <w:docPart>
      <w:docPartPr>
        <w:name w:val="2BEC1A8B0707419B9D8B8A6EA56E2C04"/>
        <w:style w:val=""/>
        <w:category>
          <w:name w:val="常规"/>
          <w:gallery w:val="placeholder"/>
        </w:category>
        <w:types>
          <w:type w:val="bbPlcHdr"/>
        </w:types>
        <w:behaviors>
          <w:behavior w:val="content"/>
        </w:behaviors>
        <w:description w:val=""/>
        <w:guid w:val="{D77E9FBA-19C6-43F9-8838-1921D1240F86}"/>
      </w:docPartPr>
      <w:docPartBody>
        <w:p>
          <w:pPr>
            <w:pStyle w:val="17"/>
          </w:pPr>
          <w:r>
            <w:rPr>
              <w:rStyle w:val="4"/>
            </w:rPr>
            <w:t>Choose an item.</w:t>
          </w:r>
        </w:p>
      </w:docPartBody>
    </w:docPart>
    <w:docPart>
      <w:docPartPr>
        <w:name w:val="0A5EA54E7E54495FB28461D659795976"/>
        <w:style w:val=""/>
        <w:category>
          <w:name w:val="常规"/>
          <w:gallery w:val="placeholder"/>
        </w:category>
        <w:types>
          <w:type w:val="bbPlcHdr"/>
        </w:types>
        <w:behaviors>
          <w:behavior w:val="content"/>
        </w:behaviors>
        <w:description w:val=""/>
        <w:guid w:val="{7920398B-2D4E-4EA1-BF36-4C41D42A37CF}"/>
      </w:docPartPr>
      <w:docPartBody>
        <w:p>
          <w:pPr>
            <w:pStyle w:val="18"/>
          </w:pPr>
          <w:r>
            <w:rPr>
              <w:rStyle w:val="4"/>
            </w:rPr>
            <w:t>Choose an item.</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4AA"/>
    <w:rsid w:val="00002F8F"/>
    <w:rsid w:val="000246C1"/>
    <w:rsid w:val="00067A5D"/>
    <w:rsid w:val="000A71A6"/>
    <w:rsid w:val="000D040C"/>
    <w:rsid w:val="00113232"/>
    <w:rsid w:val="001343DA"/>
    <w:rsid w:val="001D01F9"/>
    <w:rsid w:val="001D54AA"/>
    <w:rsid w:val="00201D03"/>
    <w:rsid w:val="002068BA"/>
    <w:rsid w:val="002D4344"/>
    <w:rsid w:val="003444AB"/>
    <w:rsid w:val="00353D40"/>
    <w:rsid w:val="00381AA6"/>
    <w:rsid w:val="00401A42"/>
    <w:rsid w:val="00414E1A"/>
    <w:rsid w:val="004245C5"/>
    <w:rsid w:val="00480CB2"/>
    <w:rsid w:val="00491E37"/>
    <w:rsid w:val="00512E58"/>
    <w:rsid w:val="005347D3"/>
    <w:rsid w:val="005C1132"/>
    <w:rsid w:val="005D3D49"/>
    <w:rsid w:val="005D6CE0"/>
    <w:rsid w:val="00653D62"/>
    <w:rsid w:val="00654305"/>
    <w:rsid w:val="006A77A6"/>
    <w:rsid w:val="006B6A89"/>
    <w:rsid w:val="006C209D"/>
    <w:rsid w:val="006C413E"/>
    <w:rsid w:val="006F2659"/>
    <w:rsid w:val="007151A5"/>
    <w:rsid w:val="00796660"/>
    <w:rsid w:val="007A1B81"/>
    <w:rsid w:val="007E7F2F"/>
    <w:rsid w:val="00800E90"/>
    <w:rsid w:val="00842049"/>
    <w:rsid w:val="00895591"/>
    <w:rsid w:val="00934021"/>
    <w:rsid w:val="00943100"/>
    <w:rsid w:val="009B11BB"/>
    <w:rsid w:val="009D5879"/>
    <w:rsid w:val="00A14A68"/>
    <w:rsid w:val="00A2149B"/>
    <w:rsid w:val="00A60449"/>
    <w:rsid w:val="00B01ADA"/>
    <w:rsid w:val="00B44802"/>
    <w:rsid w:val="00B914F5"/>
    <w:rsid w:val="00B94D0D"/>
    <w:rsid w:val="00BF146C"/>
    <w:rsid w:val="00D10ECD"/>
    <w:rsid w:val="00D12170"/>
    <w:rsid w:val="00DB2EE8"/>
    <w:rsid w:val="00DC53DD"/>
    <w:rsid w:val="00DD4A30"/>
    <w:rsid w:val="00DE7023"/>
    <w:rsid w:val="00E3137B"/>
    <w:rsid w:val="00E362FE"/>
    <w:rsid w:val="00E42BCC"/>
    <w:rsid w:val="00E818BF"/>
    <w:rsid w:val="00F1575E"/>
    <w:rsid w:val="00FA7A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eastAsia="宋体" w:asciiTheme="minorHAnsi" w:hAnsiTheme="minorHAnsi" w:cstheme="minorBidi"/>
      <w:sz w:val="22"/>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CB55F06DC751453F98E30C95DD8A15B42"/>
    <w:qFormat/>
    <w:uiPriority w:val="0"/>
    <w:rPr>
      <w:rFonts w:eastAsia="宋体" w:asciiTheme="minorHAnsi" w:hAnsiTheme="minorHAnsi" w:cstheme="minorBidi"/>
      <w:sz w:val="22"/>
      <w:szCs w:val="22"/>
      <w:lang w:val="en-US" w:eastAsia="en-US" w:bidi="ar-SA"/>
    </w:rPr>
  </w:style>
  <w:style w:type="paragraph" w:customStyle="1" w:styleId="6">
    <w:name w:val="B8CEC886AD414E9F9AD5CDFE881CE8AB"/>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9F4853B784F14DEE978BFD013FBE5BC5"/>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8">
    <w:name w:val="72F7AD2EF0064F44B64566BD74BF82A8"/>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9">
    <w:name w:val="5A6822FA021B4996B600956E6910121D"/>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0">
    <w:name w:val="CEB6102227464370B97FEE508800062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1">
    <w:name w:val="B7B2675F08284C59BBB6554432D3BBC1"/>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2">
    <w:name w:val="6B046D09B8A74479B2B1630F50AB80F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3">
    <w:name w:val="F4A2E812B5C5414699366B1AFAA4971F"/>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4">
    <w:name w:val="D83FE06775E24093A2E3A43760E98DF1"/>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5">
    <w:name w:val="B58FC690C5F04317A4239D84CF846A5A"/>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6">
    <w:name w:val="6659506902BE40C28EC26151466E3ACA"/>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7">
    <w:name w:val="2BEC1A8B0707419B9D8B8A6EA56E2C04"/>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18">
    <w:name w:val="0A5EA54E7E54495FB28461D659795976"/>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B0398 - China - Beijing</OfficeCountry>
    <DocumentStatus xmlns="d9cf0e28-81d2-4dc7-8b10-820d80ed680d">Draft</DocumentStatus>
    <DocCoverageEndDate xmlns="d9cf0e28-81d2-4dc7-8b10-820d80ed680d">2023-12-31T05:00:00+00:00</DocCoverageEndDate>
    <FunctionalArea xmlns="d9cf0e28-81d2-4dc7-8b10-820d80ed680d" xsi:nil="true"/>
    <FileNameDescription xmlns="d9cf0e28-81d2-4dc7-8b10-820d80ed680d" xsi:nil="true"/>
    <ProjectNumber xmlns="d9cf0e28-81d2-4dc7-8b10-820d80ed680d">00123990</ProjectNumber>
    <DocumentType xmlns="d9cf0e28-81d2-4dc7-8b10-820d80ed680d">Progress Report</DocumentType>
    <Language xmlns="d9cf0e28-81d2-4dc7-8b10-820d80ed680d">Chinese</Language>
    <AuthorName xmlns="d9cf0e28-81d2-4dc7-8b10-820d80ed680d">UNDP</AuthorName>
    <DocumentCategory xmlns="d9cf0e28-81d2-4dc7-8b10-820d80ed680d" xsi:nil="true"/>
    <OperatingUnit xmlns="d9cf0e28-81d2-4dc7-8b10-820d80ed680d">UNDP-CHN</OperatingUnit>
    <FocusArea xmlns="d9cf0e28-81d2-4dc7-8b10-820d80ed680d" xsi:nil="true"/>
    <DocCoverageStartDate xmlns="d9cf0e28-81d2-4dc7-8b10-820d80ed680d">2023-01-01T05:00:00+00:00</DocCoverageStartDate>
    <FileClassificationMode xmlns="d9cf0e28-81d2-4dc7-8b10-820d80ed680d">Public</FileClassificationMode>
    <OutputNumber xmlns="d9cf0e28-81d2-4dc7-8b10-820d80ed680d">00119054</OutputNumber>
  </documentManagement>
</p:properties>
</file>

<file path=customXml/itemProps1.xml><?xml version="1.0" encoding="utf-8"?>
<ds:datastoreItem xmlns:ds="http://schemas.openxmlformats.org/officeDocument/2006/customXml" ds:itemID="{23A8D289-3405-468E-BE2F-58BB3479C074}">
  <ds:schemaRefs/>
</ds:datastoreItem>
</file>

<file path=customXml/itemProps2.xml><?xml version="1.0" encoding="utf-8"?>
<ds:datastoreItem xmlns:ds="http://schemas.openxmlformats.org/officeDocument/2006/customXml" ds:itemID="{EA66BE52-F8D5-46D1-A53D-E241E4AEA983}"/>
</file>

<file path=customXml/itemProps3.xml><?xml version="1.0" encoding="utf-8"?>
<ds:datastoreItem xmlns:ds="http://schemas.openxmlformats.org/officeDocument/2006/customXml" ds:itemID="{22EC30DE-9F18-4F52-8729-4787D7B92112}"/>
</file>

<file path=customXml/itemProps4.xml><?xml version="1.0" encoding="utf-8"?>
<ds:datastoreItem xmlns:ds="http://schemas.openxmlformats.org/officeDocument/2006/customXml" ds:itemID="{E11B31A3-FDF2-4148-932B-B4D674685BDE}"/>
</file>

<file path=docProps/app.xml><?xml version="1.0" encoding="utf-8"?>
<Properties xmlns="http://schemas.openxmlformats.org/officeDocument/2006/extended-properties" xmlns:vt="http://schemas.openxmlformats.org/officeDocument/2006/docPropsVTypes">
  <Template>Normal</Template>
  <Pages>1</Pages>
  <Words>9773</Words>
  <Characters>55708</Characters>
  <Lines>464</Lines>
  <Paragraphs>130</Paragraphs>
  <TotalTime>16</TotalTime>
  <ScaleCrop>false</ScaleCrop>
  <LinksUpToDate>false</LinksUpToDate>
  <CharactersWithSpaces>65351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Qian.Sun</dc:creator>
  <cp:lastModifiedBy>渝琨</cp:lastModifiedBy>
  <cp:revision>24</cp:revision>
  <cp:lastPrinted>2023-11-27T06:45:00Z</cp:lastPrinted>
  <dcterms:created xsi:type="dcterms:W3CDTF">2023-11-27T01:42:00Z</dcterms:created>
  <dcterms:modified xsi:type="dcterms:W3CDTF">2023-11-27T13:56:07Z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y fmtid="{D5CDD505-2E9C-101B-9397-08002B2CF9AE}" pid="5" name="KSOProductBuildVer">
    <vt:lpwstr>2052-12.1.0.15712</vt:lpwstr>
  </property>
  <property fmtid="{D5CDD505-2E9C-101B-9397-08002B2CF9AE}" pid="6" name="ICV">
    <vt:lpwstr>83B44720A2F392C4E27751658D124423</vt:lpwstr>
  </property>
</Properties>
</file>